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D06759"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7E2522" w:rsidRDefault="00D06759" w:rsidP="00D06759">
            <w:pPr>
              <w:pStyle w:val="210"/>
              <w:shd w:val="clear" w:color="auto" w:fill="auto"/>
              <w:spacing w:line="240" w:lineRule="auto"/>
              <w:ind w:right="40"/>
              <w:jc w:val="both"/>
              <w:rPr>
                <w:rFonts w:ascii="Times New Roman" w:hAnsi="Times New Roman" w:cs="Times New Roman"/>
                <w:spacing w:val="-4"/>
                <w:lang w:val="uk-UA"/>
              </w:rPr>
            </w:pPr>
            <w:r>
              <w:rPr>
                <w:rFonts w:ascii="Times New Roman" w:hAnsi="Times New Roman" w:cs="Times New Roman"/>
                <w:spacing w:val="-4"/>
                <w:lang w:val="uk-UA"/>
              </w:rPr>
              <w:t xml:space="preserve">лот 1 - Код ДК 021:2015 </w:t>
            </w:r>
            <w:r w:rsidRPr="00D06759">
              <w:rPr>
                <w:rFonts w:ascii="Times New Roman" w:hAnsi="Times New Roman" w:cs="Times New Roman"/>
                <w:spacing w:val="-4"/>
                <w:lang w:val="uk-UA"/>
              </w:rPr>
              <w:t>32580000-2 – Інформаційне обладнання, Засіб КЗІ електронний ключ “</w:t>
            </w:r>
            <w:proofErr w:type="spellStart"/>
            <w:r w:rsidRPr="00D06759">
              <w:rPr>
                <w:rFonts w:ascii="Times New Roman" w:hAnsi="Times New Roman" w:cs="Times New Roman"/>
                <w:spacing w:val="-4"/>
                <w:lang w:val="uk-UA"/>
              </w:rPr>
              <w:t>Secure</w:t>
            </w:r>
            <w:proofErr w:type="spellEnd"/>
            <w:r w:rsidRPr="00D06759">
              <w:rPr>
                <w:rFonts w:ascii="Times New Roman" w:hAnsi="Times New Roman" w:cs="Times New Roman"/>
                <w:spacing w:val="-4"/>
                <w:lang w:val="uk-UA"/>
              </w:rPr>
              <w:t xml:space="preserve"> Token-338x”, лот 2 - Код ДК 021:2015 </w:t>
            </w:r>
            <w:bookmarkStart w:id="0" w:name="_GoBack"/>
            <w:bookmarkEnd w:id="0"/>
            <w:r w:rsidRPr="00D06759">
              <w:rPr>
                <w:rFonts w:ascii="Times New Roman" w:hAnsi="Times New Roman" w:cs="Times New Roman"/>
                <w:spacing w:val="-4"/>
                <w:lang w:val="uk-UA"/>
              </w:rPr>
              <w:t>32580000-2 – Інформаційне обладнання, Засіб КЗІ електронний ключ “Алмаз-1К” (</w:t>
            </w:r>
            <w:proofErr w:type="spellStart"/>
            <w:r w:rsidRPr="00D06759">
              <w:rPr>
                <w:rFonts w:ascii="Times New Roman" w:hAnsi="Times New Roman" w:cs="Times New Roman"/>
                <w:spacing w:val="-4"/>
                <w:lang w:val="uk-UA"/>
              </w:rPr>
              <w:t>Bluetooth</w:t>
            </w:r>
            <w:proofErr w:type="spellEnd"/>
            <w:r w:rsidRPr="00D06759">
              <w:rPr>
                <w:rFonts w:ascii="Times New Roman" w:hAnsi="Times New Roman" w:cs="Times New Roman"/>
                <w:spacing w:val="-4"/>
                <w:lang w:val="uk-UA"/>
              </w:rPr>
              <w:t>-пристрій)</w:t>
            </w:r>
          </w:p>
        </w:tc>
      </w:tr>
      <w:tr w:rsidR="00132A80" w:rsidRPr="007E2522" w:rsidTr="006265DB">
        <w:tc>
          <w:tcPr>
            <w:tcW w:w="429" w:type="dxa"/>
          </w:tcPr>
          <w:p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rsidR="00E4278E" w:rsidRPr="007E2522" w:rsidRDefault="00D06759" w:rsidP="00411F5E">
            <w:pPr>
              <w:pStyle w:val="210"/>
              <w:shd w:val="clear" w:color="auto" w:fill="auto"/>
              <w:spacing w:line="240" w:lineRule="auto"/>
              <w:ind w:right="40"/>
              <w:jc w:val="both"/>
              <w:rPr>
                <w:rFonts w:ascii="Times New Roman" w:hAnsi="Times New Roman" w:cs="Times New Roman"/>
                <w:spacing w:val="-4"/>
                <w:lang w:val="uk-UA"/>
              </w:rPr>
            </w:pPr>
            <w:r w:rsidRPr="00D06759">
              <w:rPr>
                <w:rFonts w:ascii="Times New Roman" w:hAnsi="Times New Roman" w:cs="Times New Roman"/>
                <w:spacing w:val="-4"/>
              </w:rPr>
              <w:t>UA-2023-07-20-012074-a</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7E2522" w:rsidRDefault="00D06759" w:rsidP="00411F5E">
            <w:pPr>
              <w:pStyle w:val="210"/>
              <w:shd w:val="clear" w:color="auto" w:fill="auto"/>
              <w:spacing w:line="240" w:lineRule="auto"/>
              <w:ind w:right="40"/>
              <w:jc w:val="both"/>
              <w:rPr>
                <w:rFonts w:ascii="Times New Roman" w:hAnsi="Times New Roman" w:cs="Times New Roman"/>
                <w:spacing w:val="-4"/>
                <w:lang w:val="uk-UA"/>
              </w:rPr>
            </w:pPr>
            <w:r>
              <w:rPr>
                <w:rFonts w:ascii="Times New Roman" w:hAnsi="Times New Roman" w:cs="Times New Roman"/>
                <w:spacing w:val="-4"/>
                <w:lang w:val="uk-UA"/>
              </w:rPr>
              <w:t>Спрощена процедура</w:t>
            </w:r>
          </w:p>
          <w:p w:rsidR="00EC431A" w:rsidRPr="007E2522" w:rsidRDefault="00EC431A" w:rsidP="003D142B">
            <w:pPr>
              <w:pStyle w:val="210"/>
              <w:shd w:val="clear" w:color="auto" w:fill="auto"/>
              <w:spacing w:line="240" w:lineRule="auto"/>
              <w:ind w:right="40"/>
              <w:jc w:val="both"/>
              <w:rPr>
                <w:rFonts w:ascii="Times New Roman" w:hAnsi="Times New Roman" w:cs="Times New Roman"/>
                <w:spacing w:val="-4"/>
                <w:lang w:val="uk-UA"/>
              </w:rPr>
            </w:pP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D06759"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rsidR="00EC431A" w:rsidRPr="007E2522" w:rsidRDefault="00D06759" w:rsidP="005E76E8">
            <w:pPr>
              <w:pStyle w:val="210"/>
              <w:shd w:val="clear" w:color="auto" w:fill="auto"/>
              <w:spacing w:line="240" w:lineRule="auto"/>
              <w:ind w:right="40"/>
              <w:jc w:val="both"/>
              <w:rPr>
                <w:rFonts w:ascii="Times New Roman" w:hAnsi="Times New Roman" w:cs="Times New Roman"/>
                <w:spacing w:val="-4"/>
                <w:lang w:val="uk-UA"/>
              </w:rPr>
            </w:pPr>
            <w:r w:rsidRPr="00D06759">
              <w:rPr>
                <w:rFonts w:ascii="Times New Roman" w:hAnsi="Times New Roman" w:cs="Times New Roman"/>
                <w:spacing w:val="-4"/>
              </w:rPr>
              <w:t>45 864 </w:t>
            </w:r>
            <w:r w:rsidR="00B34414" w:rsidRPr="007E2522">
              <w:rPr>
                <w:rFonts w:ascii="Times New Roman" w:hAnsi="Times New Roman" w:cs="Times New Roman"/>
                <w:spacing w:val="-4"/>
                <w:lang w:val="uk-UA"/>
              </w:rPr>
              <w:t>,</w:t>
            </w:r>
            <w:r w:rsidR="007E2522">
              <w:rPr>
                <w:rFonts w:ascii="Times New Roman" w:hAnsi="Times New Roman" w:cs="Times New Roman"/>
                <w:spacing w:val="-4"/>
                <w:lang w:val="uk-UA"/>
              </w:rPr>
              <w:t>00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5FC"/>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3</cp:revision>
  <cp:lastPrinted>2021-04-01T10:07:00Z</cp:lastPrinted>
  <dcterms:created xsi:type="dcterms:W3CDTF">2023-07-20T06:31:00Z</dcterms:created>
  <dcterms:modified xsi:type="dcterms:W3CDTF">2023-07-25T13:36:00Z</dcterms:modified>
</cp:coreProperties>
</file>