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7D802579"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w:t>
      </w:r>
      <w:r w:rsidR="00340642">
        <w:rPr>
          <w:rFonts w:ascii="Times New Roman" w:hAnsi="Times New Roman"/>
          <w:bCs/>
          <w:szCs w:val="24"/>
          <w:lang w:val="uk-UA"/>
        </w:rPr>
        <w:t>2</w:t>
      </w:r>
      <w:r w:rsidR="00050C4F" w:rsidRPr="00050C4F">
        <w:rPr>
          <w:rFonts w:ascii="Times New Roman" w:hAnsi="Times New Roman"/>
          <w:bCs/>
          <w:szCs w:val="24"/>
          <w:lang w:val="uk-UA"/>
        </w:rPr>
        <w:t>.</w:t>
      </w:r>
    </w:p>
    <w:p w14:paraId="36B574B3" w14:textId="544DFE5D" w:rsidR="00EC50B8" w:rsidRPr="00DB7F71"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w:t>
      </w:r>
      <w:r w:rsidR="00340642">
        <w:rPr>
          <w:rFonts w:ascii="Times New Roman" w:hAnsi="Times New Roman"/>
          <w:b/>
          <w:spacing w:val="-2"/>
          <w:sz w:val="24"/>
          <w:szCs w:val="24"/>
          <w:lang w:val="uk-UA"/>
        </w:rPr>
        <w:t>2</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0265BFA0"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173C14">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10</w:t>
      </w:r>
      <w:r w:rsidR="003F44CA" w:rsidRPr="00586066">
        <w:rPr>
          <w:rStyle w:val="hps"/>
          <w:rFonts w:ascii="Times New Roman" w:hAnsi="Times New Roman"/>
          <w:b/>
          <w:sz w:val="24"/>
          <w:szCs w:val="24"/>
          <w:lang w:val="uk-UA"/>
        </w:rPr>
        <w:t xml:space="preserve"> </w:t>
      </w:r>
      <w:r w:rsidR="00BA37F2">
        <w:rPr>
          <w:rStyle w:val="hps"/>
          <w:rFonts w:ascii="Times New Roman" w:hAnsi="Times New Roman"/>
          <w:b/>
          <w:sz w:val="24"/>
          <w:szCs w:val="24"/>
          <w:lang w:val="ru-RU"/>
        </w:rPr>
        <w:t>кв</w:t>
      </w:r>
      <w:proofErr w:type="spellStart"/>
      <w:r w:rsidR="00BA37F2">
        <w:rPr>
          <w:rStyle w:val="hps"/>
          <w:rFonts w:ascii="Times New Roman" w:hAnsi="Times New Roman"/>
          <w:b/>
          <w:sz w:val="24"/>
          <w:szCs w:val="24"/>
          <w:lang w:val="uk-UA"/>
        </w:rPr>
        <w:t>ітня</w:t>
      </w:r>
      <w:proofErr w:type="spellEnd"/>
      <w:r w:rsidR="003F44CA" w:rsidRPr="00586066">
        <w:rPr>
          <w:rStyle w:val="hps"/>
          <w:rFonts w:ascii="Times New Roman" w:hAnsi="Times New Roman"/>
          <w:b/>
          <w:sz w:val="24"/>
          <w:szCs w:val="24"/>
          <w:lang w:val="uk-UA"/>
        </w:rPr>
        <w:t xml:space="preserve"> 202</w:t>
      </w:r>
      <w:r w:rsidR="001703B9">
        <w:rPr>
          <w:rStyle w:val="hps"/>
          <w:rFonts w:ascii="Times New Roman" w:hAnsi="Times New Roman"/>
          <w:b/>
          <w:sz w:val="24"/>
          <w:szCs w:val="24"/>
          <w:lang w:val="uk-UA"/>
        </w:rPr>
        <w:t>4</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w:t>
      </w:r>
      <w:r>
        <w:rPr>
          <w:rStyle w:val="hps"/>
          <w:rFonts w:ascii="Times New Roman" w:hAnsi="Times New Roman"/>
          <w:sz w:val="24"/>
          <w:szCs w:val="24"/>
          <w:lang w:val="uk-UA"/>
        </w:rPr>
        <w:lastRenderedPageBreak/>
        <w:t>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6A9B87D2" w:rsidR="00F77990" w:rsidRPr="00E878E7" w:rsidRDefault="00F77990" w:rsidP="00F4110F">
      <w:pPr>
        <w:suppressAutoHyphens/>
        <w:jc w:val="both"/>
        <w:rPr>
          <w:rFonts w:asciiTheme="minorHAnsi" w:hAnsiTheme="minorHAnsi"/>
          <w:iCs/>
          <w:sz w:val="24"/>
          <w:szCs w:val="24"/>
          <w:lang w:val="ru-RU"/>
        </w:rPr>
      </w:pPr>
      <w:bookmarkStart w:id="0" w:name="_Hlk162418325"/>
      <w:r w:rsidRPr="00586066">
        <w:rPr>
          <w:rFonts w:ascii="Times New Roman" w:hAnsi="Times New Roman"/>
          <w:iCs/>
          <w:sz w:val="24"/>
          <w:szCs w:val="24"/>
          <w:lang w:val="uk-UA"/>
        </w:rPr>
        <w:t xml:space="preserve">Ел. пошта: </w:t>
      </w:r>
      <w:hyperlink r:id="rId8" w:history="1">
        <w:r w:rsidR="00372561" w:rsidRPr="00372561">
          <w:rPr>
            <w:rStyle w:val="ae"/>
            <w:sz w:val="24"/>
            <w:szCs w:val="24"/>
            <w:lang w:val="uk-UA"/>
          </w:rPr>
          <w:t>pasko@nads.gov.ua</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9"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nads</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0"/>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173C14"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173C14"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173C14"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173C14"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173C14"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173C14"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34D4662B"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Спеціаліст з підтримки впровадження HRMIS </w:t>
      </w:r>
      <w:r w:rsidR="00340642">
        <w:rPr>
          <w:rFonts w:ascii="Times New Roman" w:hAnsi="Times New Roman"/>
          <w:b/>
          <w:sz w:val="24"/>
          <w:szCs w:val="24"/>
          <w:lang w:val="uk-UA" w:eastAsia="uk-UA"/>
        </w:rPr>
        <w:t>2</w:t>
      </w:r>
    </w:p>
    <w:p w14:paraId="0B517884" w14:textId="32F8AE2B"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w:t>
      </w:r>
      <w:r w:rsidR="00340642">
        <w:rPr>
          <w:rFonts w:ascii="Times New Roman" w:hAnsi="Times New Roman"/>
          <w:sz w:val="24"/>
          <w:szCs w:val="24"/>
          <w:lang w:val="uk-UA" w:eastAsia="uk-UA"/>
        </w:rPr>
        <w:t>2</w:t>
      </w:r>
      <w:r w:rsidRPr="00277714">
        <w:rPr>
          <w:rFonts w:ascii="Times New Roman" w:hAnsi="Times New Roman"/>
          <w:sz w:val="24"/>
          <w:szCs w:val="24"/>
          <w:lang w:val="uk-UA" w:eastAsia="uk-UA"/>
        </w:rPr>
        <w:t>)</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10">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1"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1"/>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2"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2"/>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3" w:name="_heading=h.gjdgxs" w:colFirst="0" w:colLast="0"/>
      <w:bookmarkEnd w:id="3"/>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8A59BE">
      <w:headerReference w:type="default" r:id="rId11"/>
      <w:footerReference w:type="default" r:id="rId12"/>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CF95" w14:textId="77777777" w:rsidR="008A59BE" w:rsidRDefault="008A59BE">
      <w:r>
        <w:separator/>
      </w:r>
    </w:p>
  </w:endnote>
  <w:endnote w:type="continuationSeparator" w:id="0">
    <w:p w14:paraId="4083F5D2" w14:textId="77777777" w:rsidR="008A59BE" w:rsidRDefault="008A59BE"/>
  </w:endnote>
  <w:endnote w:type="continuationNotice" w:id="1">
    <w:p w14:paraId="6A7565F2" w14:textId="77777777" w:rsidR="008A59BE" w:rsidRDefault="008A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C7B8" w14:textId="77777777" w:rsidR="008A59BE" w:rsidRDefault="008A59BE">
      <w:r>
        <w:rPr>
          <w:sz w:val="24"/>
        </w:rPr>
        <w:separator/>
      </w:r>
    </w:p>
  </w:footnote>
  <w:footnote w:type="continuationSeparator" w:id="0">
    <w:p w14:paraId="4E617FED" w14:textId="77777777" w:rsidR="008A59BE" w:rsidRDefault="008A59BE">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6240"/>
    <w:rsid w:val="00031CCD"/>
    <w:rsid w:val="00032DE7"/>
    <w:rsid w:val="0004200B"/>
    <w:rsid w:val="00050C4F"/>
    <w:rsid w:val="00056694"/>
    <w:rsid w:val="00057105"/>
    <w:rsid w:val="00074D95"/>
    <w:rsid w:val="00081191"/>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73C14"/>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0642"/>
    <w:rsid w:val="00346EA2"/>
    <w:rsid w:val="00347FFB"/>
    <w:rsid w:val="00350641"/>
    <w:rsid w:val="00351721"/>
    <w:rsid w:val="00357959"/>
    <w:rsid w:val="00363472"/>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A59BE"/>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sko@nads.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nads.gov.ua/" TargetMode="External"/><Relationship Id="rId4" Type="http://schemas.openxmlformats.org/officeDocument/2006/relationships/settings" Target="settings.xml"/><Relationship Id="rId9" Type="http://schemas.openxmlformats.org/officeDocument/2006/relationships/hyperlink" Target="mailto:procurement.nacs@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7</Pages>
  <Words>9259</Words>
  <Characters>5279</Characters>
  <Application>Microsoft Office Word</Application>
  <DocSecurity>0</DocSecurity>
  <Lines>43</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14509</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Александр</cp:lastModifiedBy>
  <cp:revision>24</cp:revision>
  <cp:lastPrinted>2022-10-05T14:13:00Z</cp:lastPrinted>
  <dcterms:created xsi:type="dcterms:W3CDTF">2023-05-10T13:48:00Z</dcterms:created>
  <dcterms:modified xsi:type="dcterms:W3CDTF">2024-03-27T14:21:00Z</dcterms:modified>
</cp:coreProperties>
</file>