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CBF4" w14:textId="77777777" w:rsidR="00573E45" w:rsidRPr="00586066" w:rsidRDefault="005D346F" w:rsidP="00573E45">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bookmarkStart w:id="0" w:name="_Hlk164440912"/>
      <w:r w:rsidR="00573E45">
        <w:rPr>
          <w:bCs/>
          <w:smallCaps w:val="0"/>
          <w:sz w:val="28"/>
          <w:szCs w:val="28"/>
          <w:lang w:val="uk-UA"/>
        </w:rPr>
        <w:t xml:space="preserve">ПРОДОВЖЕНО КІНЦЕВИЙ ТЕРМІН </w:t>
      </w:r>
      <w:bookmarkEnd w:id="0"/>
      <w:r w:rsidR="00573E45">
        <w:rPr>
          <w:bCs/>
          <w:smallCaps w:val="0"/>
          <w:sz w:val="28"/>
          <w:szCs w:val="28"/>
          <w:lang w:val="uk-UA"/>
        </w:rPr>
        <w:t>ПОДАННЯ</w:t>
      </w:r>
      <w:r w:rsidR="00573E45" w:rsidRPr="00586066">
        <w:rPr>
          <w:bCs/>
          <w:smallCaps w:val="0"/>
          <w:sz w:val="28"/>
          <w:szCs w:val="28"/>
          <w:lang w:val="uk-UA"/>
        </w:rPr>
        <w:t xml:space="preserve"> ЗАПРОШЕ</w:t>
      </w:r>
      <w:r w:rsidR="00573E45">
        <w:rPr>
          <w:bCs/>
          <w:smallCaps w:val="0"/>
          <w:sz w:val="28"/>
          <w:szCs w:val="28"/>
          <w:lang w:val="uk-UA"/>
        </w:rPr>
        <w:t>НЬ</w:t>
      </w:r>
      <w:r w:rsidR="00573E45" w:rsidRPr="00586066">
        <w:rPr>
          <w:bCs/>
          <w:smallCaps w:val="0"/>
          <w:sz w:val="28"/>
          <w:szCs w:val="28"/>
          <w:lang w:val="uk-UA"/>
        </w:rPr>
        <w:t xml:space="preserve"> ДО ВИCЛОВЛЕННЯ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7D802579"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w:t>
      </w:r>
      <w:r w:rsidR="00340642">
        <w:rPr>
          <w:rFonts w:ascii="Times New Roman" w:hAnsi="Times New Roman"/>
          <w:bCs/>
          <w:szCs w:val="24"/>
          <w:lang w:val="uk-UA"/>
        </w:rPr>
        <w:t>2</w:t>
      </w:r>
      <w:r w:rsidR="00050C4F" w:rsidRPr="00050C4F">
        <w:rPr>
          <w:rFonts w:ascii="Times New Roman" w:hAnsi="Times New Roman"/>
          <w:bCs/>
          <w:szCs w:val="24"/>
          <w:lang w:val="uk-UA"/>
        </w:rPr>
        <w:t>.</w:t>
      </w:r>
    </w:p>
    <w:p w14:paraId="36B574B3" w14:textId="544DFE5D" w:rsidR="00EC50B8" w:rsidRPr="00DB7F71"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w:t>
      </w:r>
      <w:r w:rsidR="00340642">
        <w:rPr>
          <w:rFonts w:ascii="Times New Roman" w:hAnsi="Times New Roman"/>
          <w:b/>
          <w:spacing w:val="-2"/>
          <w:sz w:val="24"/>
          <w:szCs w:val="24"/>
          <w:lang w:val="uk-UA"/>
        </w:rPr>
        <w:t>2</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04E1A6A2"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173C14">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ED2B3D">
        <w:rPr>
          <w:rStyle w:val="hps"/>
          <w:rFonts w:ascii="Times New Roman" w:hAnsi="Times New Roman"/>
          <w:b/>
          <w:sz w:val="24"/>
          <w:szCs w:val="24"/>
        </w:rPr>
        <w:t>19</w:t>
      </w:r>
      <w:r w:rsidR="00ED2B3D" w:rsidRPr="00586066">
        <w:rPr>
          <w:rStyle w:val="hps"/>
          <w:rFonts w:ascii="Times New Roman" w:hAnsi="Times New Roman"/>
          <w:b/>
          <w:sz w:val="24"/>
          <w:szCs w:val="24"/>
          <w:lang w:val="uk-UA"/>
        </w:rPr>
        <w:t xml:space="preserve"> </w:t>
      </w:r>
      <w:r w:rsidR="00ED2B3D">
        <w:rPr>
          <w:rStyle w:val="hps"/>
          <w:rFonts w:ascii="Times New Roman" w:hAnsi="Times New Roman"/>
          <w:b/>
          <w:sz w:val="24"/>
          <w:szCs w:val="24"/>
          <w:lang w:val="ru-RU"/>
        </w:rPr>
        <w:t>березня</w:t>
      </w:r>
      <w:r w:rsidR="00ED2B3D" w:rsidRPr="00586066">
        <w:rPr>
          <w:rStyle w:val="hps"/>
          <w:rFonts w:ascii="Times New Roman" w:hAnsi="Times New Roman"/>
          <w:b/>
          <w:sz w:val="24"/>
          <w:szCs w:val="24"/>
          <w:lang w:val="uk-UA"/>
        </w:rPr>
        <w:t xml:space="preserve"> 202</w:t>
      </w:r>
      <w:r w:rsidR="00ED2B3D">
        <w:rPr>
          <w:rStyle w:val="hps"/>
          <w:rFonts w:ascii="Times New Roman" w:hAnsi="Times New Roman"/>
          <w:b/>
          <w:sz w:val="24"/>
          <w:szCs w:val="24"/>
          <w:lang w:val="uk-UA"/>
        </w:rPr>
        <w:t>5 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lastRenderedPageBreak/>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720A58B" w:rsidR="00F77990" w:rsidRPr="00E878E7" w:rsidRDefault="00F77990" w:rsidP="00F4110F">
      <w:pPr>
        <w:suppressAutoHyphens/>
        <w:jc w:val="both"/>
        <w:rPr>
          <w:rFonts w:asciiTheme="minorHAnsi" w:hAnsiTheme="minorHAnsi"/>
          <w:iCs/>
          <w:sz w:val="24"/>
          <w:szCs w:val="24"/>
          <w:lang w:val="ru-RU"/>
        </w:rPr>
      </w:pPr>
      <w:bookmarkStart w:id="1" w:name="_Hlk162418325"/>
      <w:r w:rsidRPr="00586066">
        <w:rPr>
          <w:rFonts w:ascii="Times New Roman" w:hAnsi="Times New Roman"/>
          <w:iCs/>
          <w:sz w:val="24"/>
          <w:szCs w:val="24"/>
          <w:lang w:val="uk-UA"/>
        </w:rPr>
        <w:t xml:space="preserve">Ел. пошта: </w:t>
      </w:r>
      <w:r w:rsidR="00ED2B3D"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8"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nads</w:t>
      </w:r>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1"/>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573E45"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573E45"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573E45"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573E45"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573E45"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573E45"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34D4662B"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Спеціаліст з підтримки впровадження HRMIS </w:t>
      </w:r>
      <w:r w:rsidR="00340642">
        <w:rPr>
          <w:rFonts w:ascii="Times New Roman" w:hAnsi="Times New Roman"/>
          <w:b/>
          <w:sz w:val="24"/>
          <w:szCs w:val="24"/>
          <w:lang w:val="uk-UA" w:eastAsia="uk-UA"/>
        </w:rPr>
        <w:t>2</w:t>
      </w:r>
    </w:p>
    <w:p w14:paraId="0B517884" w14:textId="32F8AE2B"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w:t>
      </w:r>
      <w:r w:rsidR="00340642">
        <w:rPr>
          <w:rFonts w:ascii="Times New Roman" w:hAnsi="Times New Roman"/>
          <w:sz w:val="24"/>
          <w:szCs w:val="24"/>
          <w:lang w:val="uk-UA" w:eastAsia="uk-UA"/>
        </w:rPr>
        <w:t>2</w:t>
      </w:r>
      <w:r w:rsidRPr="00277714">
        <w:rPr>
          <w:rFonts w:ascii="Times New Roman" w:hAnsi="Times New Roman"/>
          <w:sz w:val="24"/>
          <w:szCs w:val="24"/>
          <w:lang w:val="uk-UA" w:eastAsia="uk-UA"/>
        </w:rPr>
        <w:t>)</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9">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2"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2"/>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3"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3"/>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4" w:name="_heading=h.gjdgxs" w:colFirst="0" w:colLast="0"/>
      <w:bookmarkEnd w:id="4"/>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9959A6">
      <w:headerReference w:type="default" r:id="rId10"/>
      <w:footerReference w:type="default" r:id="rId11"/>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BAC6" w14:textId="77777777" w:rsidR="004D5F6C" w:rsidRDefault="004D5F6C">
      <w:r>
        <w:separator/>
      </w:r>
    </w:p>
  </w:endnote>
  <w:endnote w:type="continuationSeparator" w:id="0">
    <w:p w14:paraId="23D5BA84" w14:textId="77777777" w:rsidR="004D5F6C" w:rsidRDefault="004D5F6C"/>
  </w:endnote>
  <w:endnote w:type="continuationNotice" w:id="1">
    <w:p w14:paraId="00438D7A" w14:textId="77777777" w:rsidR="004D5F6C" w:rsidRDefault="004D5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588BB" w14:textId="77777777" w:rsidR="004D5F6C" w:rsidRDefault="004D5F6C">
      <w:r>
        <w:rPr>
          <w:sz w:val="24"/>
        </w:rPr>
        <w:separator/>
      </w:r>
    </w:p>
  </w:footnote>
  <w:footnote w:type="continuationSeparator" w:id="0">
    <w:p w14:paraId="58AC7547" w14:textId="77777777" w:rsidR="004D5F6C" w:rsidRDefault="004D5F6C">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6240"/>
    <w:rsid w:val="00031CCD"/>
    <w:rsid w:val="00032DE7"/>
    <w:rsid w:val="0004200B"/>
    <w:rsid w:val="00050C4F"/>
    <w:rsid w:val="00056694"/>
    <w:rsid w:val="00057105"/>
    <w:rsid w:val="00074D95"/>
    <w:rsid w:val="00081191"/>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3011"/>
    <w:rsid w:val="00135244"/>
    <w:rsid w:val="001431BB"/>
    <w:rsid w:val="00154BF3"/>
    <w:rsid w:val="00156922"/>
    <w:rsid w:val="00156AF1"/>
    <w:rsid w:val="001703B9"/>
    <w:rsid w:val="00172349"/>
    <w:rsid w:val="00173C14"/>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0642"/>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D5F6C"/>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3E45"/>
    <w:rsid w:val="0057497E"/>
    <w:rsid w:val="005774FE"/>
    <w:rsid w:val="00580004"/>
    <w:rsid w:val="00582A55"/>
    <w:rsid w:val="00582F91"/>
    <w:rsid w:val="00586066"/>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A59BE"/>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2562"/>
    <w:rsid w:val="009959A6"/>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33E1F"/>
    <w:rsid w:val="00E5321A"/>
    <w:rsid w:val="00E55510"/>
    <w:rsid w:val="00E66AB2"/>
    <w:rsid w:val="00E74DC0"/>
    <w:rsid w:val="00E80CEF"/>
    <w:rsid w:val="00E83B96"/>
    <w:rsid w:val="00E878E7"/>
    <w:rsid w:val="00EA68BF"/>
    <w:rsid w:val="00EB3681"/>
    <w:rsid w:val="00EB5460"/>
    <w:rsid w:val="00EC14AF"/>
    <w:rsid w:val="00EC218D"/>
    <w:rsid w:val="00EC50B8"/>
    <w:rsid w:val="00ED2B3D"/>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9264</Words>
  <Characters>5282</Characters>
  <Application>Microsoft Office Word</Application>
  <DocSecurity>0</DocSecurity>
  <Lines>44</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14517</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27</cp:revision>
  <cp:lastPrinted>2022-10-05T14:13:00Z</cp:lastPrinted>
  <dcterms:created xsi:type="dcterms:W3CDTF">2023-05-10T13:48:00Z</dcterms:created>
  <dcterms:modified xsi:type="dcterms:W3CDTF">2025-03-04T13:24:00Z</dcterms:modified>
</cp:coreProperties>
</file>