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6B9E" w14:textId="77777777" w:rsidR="00703BC8" w:rsidRPr="0007516C" w:rsidRDefault="00703BC8" w:rsidP="00703BC8">
      <w:pPr>
        <w:ind w:left="6379"/>
        <w:rPr>
          <w:bCs/>
          <w:lang w:val="uk-UA"/>
        </w:rPr>
      </w:pPr>
      <w:r>
        <w:rPr>
          <w:bCs/>
          <w:lang w:val="uk-UA"/>
        </w:rPr>
        <w:t xml:space="preserve">Додаток </w:t>
      </w:r>
    </w:p>
    <w:p w14:paraId="2F3B7FA4" w14:textId="2B0B2730" w:rsidR="00703BC8" w:rsidRPr="0007516C" w:rsidRDefault="00703BC8" w:rsidP="00703BC8">
      <w:pPr>
        <w:ind w:left="6379"/>
        <w:rPr>
          <w:bCs/>
          <w:lang w:val="uk-UA"/>
        </w:rPr>
      </w:pPr>
      <w:r w:rsidRPr="0007516C">
        <w:rPr>
          <w:bCs/>
          <w:lang w:val="uk-UA"/>
        </w:rPr>
        <w:t>ЗАТВЕРДЖЕНО</w:t>
      </w:r>
      <w:r w:rsidRPr="0007516C">
        <w:rPr>
          <w:lang w:val="uk-UA"/>
        </w:rPr>
        <w:t> </w:t>
      </w:r>
      <w:r w:rsidRPr="0007516C">
        <w:rPr>
          <w:lang w:val="uk-UA"/>
        </w:rPr>
        <w:br/>
      </w:r>
      <w:r w:rsidRPr="0007516C">
        <w:rPr>
          <w:bCs/>
          <w:lang w:val="uk-UA"/>
        </w:rPr>
        <w:t>наказом Уповноваженого</w:t>
      </w:r>
      <w:r w:rsidRPr="0007516C">
        <w:t xml:space="preserve"> </w:t>
      </w:r>
      <w:r>
        <w:rPr>
          <w:bCs/>
          <w:lang w:val="uk-UA"/>
        </w:rPr>
        <w:t>Верховної Ради України з прав людини</w:t>
      </w:r>
    </w:p>
    <w:p w14:paraId="189C7825" w14:textId="61C49AA5" w:rsidR="00703BC8" w:rsidRPr="007076FA" w:rsidRDefault="00A3504A" w:rsidP="00703BC8">
      <w:pPr>
        <w:ind w:left="6237" w:firstLine="142"/>
        <w:rPr>
          <w:lang w:val="uk-UA"/>
        </w:rPr>
      </w:pPr>
      <w:r>
        <w:rPr>
          <w:bCs/>
          <w:lang w:val="uk-UA"/>
        </w:rPr>
        <w:t>в</w:t>
      </w:r>
      <w:r w:rsidR="00703BC8" w:rsidRPr="009A2189">
        <w:rPr>
          <w:bCs/>
          <w:lang w:val="uk-UA"/>
        </w:rPr>
        <w:t>ід</w:t>
      </w:r>
      <w:r>
        <w:rPr>
          <w:bCs/>
          <w:lang w:val="uk-UA"/>
        </w:rPr>
        <w:t xml:space="preserve"> </w:t>
      </w:r>
      <w:r w:rsidR="007801B1">
        <w:rPr>
          <w:bCs/>
          <w:lang w:val="uk-UA"/>
        </w:rPr>
        <w:t>25.06.</w:t>
      </w:r>
      <w:r>
        <w:rPr>
          <w:bCs/>
          <w:lang w:val="uk-UA"/>
        </w:rPr>
        <w:t xml:space="preserve">2021 </w:t>
      </w:r>
      <w:r w:rsidR="00703BC8">
        <w:rPr>
          <w:bCs/>
          <w:lang w:val="uk-UA"/>
        </w:rPr>
        <w:t>№</w:t>
      </w:r>
      <w:r w:rsidR="00223E0A">
        <w:rPr>
          <w:bCs/>
          <w:lang w:val="uk-UA"/>
        </w:rPr>
        <w:t xml:space="preserve"> </w:t>
      </w:r>
      <w:r w:rsidR="007801B1">
        <w:rPr>
          <w:bCs/>
          <w:lang w:val="uk-UA"/>
        </w:rPr>
        <w:t>866</w:t>
      </w:r>
      <w:r w:rsidR="0037235F">
        <w:rPr>
          <w:bCs/>
          <w:lang w:val="uk-UA"/>
        </w:rPr>
        <w:t>/</w:t>
      </w:r>
      <w:r w:rsidR="00703BC8">
        <w:rPr>
          <w:bCs/>
          <w:lang w:val="uk-UA"/>
        </w:rPr>
        <w:t>к</w:t>
      </w:r>
    </w:p>
    <w:p w14:paraId="45B9D472" w14:textId="5891609C" w:rsidR="00703BC8" w:rsidRDefault="00703BC8" w:rsidP="00703BC8">
      <w:pPr>
        <w:ind w:left="448" w:right="448"/>
        <w:jc w:val="center"/>
        <w:rPr>
          <w:b/>
          <w:bCs/>
          <w:lang w:val="uk-UA"/>
        </w:rPr>
      </w:pPr>
    </w:p>
    <w:p w14:paraId="5C3431AA" w14:textId="77777777" w:rsidR="00021F34" w:rsidRPr="0007516C" w:rsidRDefault="00021F34" w:rsidP="00703BC8">
      <w:pPr>
        <w:ind w:left="448" w:right="448"/>
        <w:jc w:val="center"/>
        <w:rPr>
          <w:b/>
          <w:bCs/>
          <w:lang w:val="uk-UA"/>
        </w:rPr>
      </w:pPr>
    </w:p>
    <w:p w14:paraId="0517EB51" w14:textId="77777777" w:rsidR="00703BC8" w:rsidRDefault="00703BC8" w:rsidP="00703BC8">
      <w:pPr>
        <w:ind w:left="448" w:right="448"/>
        <w:jc w:val="center"/>
        <w:rPr>
          <w:b/>
          <w:bCs/>
          <w:lang w:val="uk-UA"/>
        </w:rPr>
      </w:pPr>
      <w:r w:rsidRPr="0007516C">
        <w:rPr>
          <w:b/>
          <w:bCs/>
          <w:lang w:val="uk-UA"/>
        </w:rPr>
        <w:t>УМОВИ</w:t>
      </w:r>
    </w:p>
    <w:p w14:paraId="2CF822B5" w14:textId="77777777" w:rsidR="00192AC4" w:rsidRDefault="00703BC8" w:rsidP="005C5BAE">
      <w:pPr>
        <w:jc w:val="center"/>
        <w:rPr>
          <w:b/>
          <w:bCs/>
          <w:lang w:val="uk-UA"/>
        </w:rPr>
      </w:pPr>
      <w:r w:rsidRPr="004A6A92">
        <w:rPr>
          <w:b/>
          <w:bCs/>
          <w:lang w:val="uk-UA"/>
        </w:rPr>
        <w:t xml:space="preserve">проведення </w:t>
      </w:r>
      <w:r w:rsidR="002B1947">
        <w:rPr>
          <w:b/>
          <w:bCs/>
          <w:lang w:val="uk-UA"/>
        </w:rPr>
        <w:t>конкурсу</w:t>
      </w:r>
      <w:r w:rsidRPr="004A6A92">
        <w:rPr>
          <w:b/>
          <w:bCs/>
          <w:lang w:val="uk-UA"/>
        </w:rPr>
        <w:t xml:space="preserve"> на</w:t>
      </w:r>
      <w:r w:rsidR="002B1947">
        <w:rPr>
          <w:b/>
          <w:bCs/>
          <w:lang w:val="uk-UA"/>
        </w:rPr>
        <w:t xml:space="preserve"> зайняття</w:t>
      </w:r>
      <w:r w:rsidR="00192AC4">
        <w:rPr>
          <w:b/>
          <w:bCs/>
          <w:lang w:val="uk-UA"/>
        </w:rPr>
        <w:t xml:space="preserve"> вакантної</w:t>
      </w:r>
      <w:r w:rsidR="002B1947">
        <w:rPr>
          <w:b/>
          <w:bCs/>
          <w:lang w:val="uk-UA"/>
        </w:rPr>
        <w:t xml:space="preserve"> посади</w:t>
      </w:r>
      <w:r w:rsidRPr="004A6A92">
        <w:rPr>
          <w:b/>
          <w:bCs/>
          <w:lang w:val="uk-UA"/>
        </w:rPr>
        <w:t xml:space="preserve">  </w:t>
      </w:r>
    </w:p>
    <w:p w14:paraId="7444ABE9" w14:textId="77777777" w:rsidR="00192AC4" w:rsidRDefault="005C5BAE" w:rsidP="005C5BAE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заступника </w:t>
      </w:r>
      <w:r w:rsidR="00DA37C9">
        <w:rPr>
          <w:b/>
          <w:bCs/>
          <w:color w:val="000000"/>
          <w:lang w:val="uk-UA"/>
        </w:rPr>
        <w:t xml:space="preserve">Керівника </w:t>
      </w:r>
      <w:r w:rsidR="006F0C32" w:rsidRPr="004A6A92">
        <w:rPr>
          <w:b/>
          <w:bCs/>
          <w:color w:val="000000"/>
          <w:lang w:val="uk-UA"/>
        </w:rPr>
        <w:t>Секретаріату</w:t>
      </w:r>
    </w:p>
    <w:p w14:paraId="4BD7A9FB" w14:textId="43A03601" w:rsidR="005C5BAE" w:rsidRDefault="00703BC8" w:rsidP="005C5BAE">
      <w:pPr>
        <w:jc w:val="center"/>
        <w:rPr>
          <w:b/>
          <w:lang w:val="uk-UA"/>
        </w:rPr>
      </w:pPr>
      <w:r w:rsidRPr="004A6A92">
        <w:rPr>
          <w:b/>
          <w:lang w:val="uk-UA"/>
        </w:rPr>
        <w:t xml:space="preserve"> Уповноваженого</w:t>
      </w:r>
      <w:r w:rsidRPr="000C5E30">
        <w:rPr>
          <w:b/>
          <w:lang w:val="uk-UA"/>
        </w:rPr>
        <w:t xml:space="preserve"> Верховної Ради України з прав людини</w:t>
      </w:r>
      <w:r w:rsidR="005C5BAE">
        <w:rPr>
          <w:b/>
          <w:lang w:val="uk-UA"/>
        </w:rPr>
        <w:t xml:space="preserve"> </w:t>
      </w:r>
    </w:p>
    <w:p w14:paraId="0B74A866" w14:textId="2BA0F19B" w:rsidR="00703BC8" w:rsidRDefault="00703BC8" w:rsidP="005C5BAE">
      <w:pPr>
        <w:jc w:val="center"/>
        <w:rPr>
          <w:b/>
          <w:bCs/>
          <w:lang w:val="uk-UA"/>
        </w:rPr>
      </w:pPr>
      <w:r w:rsidRPr="0007516C">
        <w:rPr>
          <w:b/>
          <w:bCs/>
          <w:lang w:val="uk-UA"/>
        </w:rPr>
        <w:t>(категорія «</w:t>
      </w:r>
      <w:r w:rsidR="00560639">
        <w:rPr>
          <w:b/>
          <w:bCs/>
          <w:lang w:val="uk-UA"/>
        </w:rPr>
        <w:t>А</w:t>
      </w:r>
      <w:r w:rsidRPr="0007516C">
        <w:rPr>
          <w:b/>
          <w:bCs/>
          <w:lang w:val="uk-UA"/>
        </w:rPr>
        <w:t>»)</w:t>
      </w:r>
      <w:r w:rsidR="003D613D">
        <w:rPr>
          <w:b/>
          <w:bCs/>
          <w:lang w:val="uk-UA"/>
        </w:rPr>
        <w:t xml:space="preserve"> </w:t>
      </w:r>
    </w:p>
    <w:p w14:paraId="5DE34885" w14:textId="77777777" w:rsidR="008E7A3B" w:rsidRPr="008E7A3B" w:rsidRDefault="008E7A3B" w:rsidP="00703BC8">
      <w:pPr>
        <w:ind w:left="448" w:right="448"/>
        <w:jc w:val="center"/>
        <w:rPr>
          <w:b/>
          <w:bCs/>
          <w:sz w:val="16"/>
          <w:szCs w:val="16"/>
          <w:lang w:val="uk-UA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2401"/>
        <w:gridCol w:w="6503"/>
      </w:tblGrid>
      <w:tr w:rsidR="00703BC8" w:rsidRPr="0007516C" w14:paraId="572397E4" w14:textId="77777777" w:rsidTr="00D37F94">
        <w:trPr>
          <w:trHeight w:val="344"/>
        </w:trPr>
        <w:tc>
          <w:tcPr>
            <w:tcW w:w="9475" w:type="dxa"/>
            <w:gridSpan w:val="3"/>
          </w:tcPr>
          <w:p w14:paraId="0487570F" w14:textId="77777777" w:rsidR="00703BC8" w:rsidRPr="0007516C" w:rsidRDefault="00703BC8" w:rsidP="009617F3">
            <w:pPr>
              <w:jc w:val="center"/>
              <w:rPr>
                <w:b/>
                <w:lang w:val="uk-UA"/>
              </w:rPr>
            </w:pPr>
            <w:r w:rsidRPr="0007516C">
              <w:rPr>
                <w:b/>
                <w:lang w:val="uk-UA"/>
              </w:rPr>
              <w:t>Загальні умови</w:t>
            </w:r>
          </w:p>
        </w:tc>
      </w:tr>
      <w:tr w:rsidR="00B65E69" w:rsidRPr="005C5BAE" w14:paraId="59532628" w14:textId="77777777" w:rsidTr="008E7A3B">
        <w:trPr>
          <w:trHeight w:val="2674"/>
        </w:trPr>
        <w:tc>
          <w:tcPr>
            <w:tcW w:w="2972" w:type="dxa"/>
            <w:gridSpan w:val="2"/>
          </w:tcPr>
          <w:p w14:paraId="0B86DD93" w14:textId="77777777" w:rsidR="00413BC2" w:rsidRPr="002366FB" w:rsidRDefault="00413BC2" w:rsidP="00413BC2">
            <w:pPr>
              <w:rPr>
                <w:lang w:val="uk-UA"/>
              </w:rPr>
            </w:pPr>
            <w:r w:rsidRPr="002366FB">
              <w:rPr>
                <w:lang w:val="uk-UA"/>
              </w:rPr>
              <w:t>Посадові обов’язки</w:t>
            </w:r>
          </w:p>
        </w:tc>
        <w:tc>
          <w:tcPr>
            <w:tcW w:w="6503" w:type="dxa"/>
          </w:tcPr>
          <w:p w14:paraId="79CE3CEF" w14:textId="67892797" w:rsidR="00021F34" w:rsidRDefault="00192AC4" w:rsidP="005C5B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5C5BAE">
              <w:rPr>
                <w:lang w:val="uk-UA"/>
              </w:rPr>
              <w:t xml:space="preserve">Організовує й координує роботу підрозділів Секретаріату з питань документального забезпечення, контролю, прийому громадян, публічних </w:t>
            </w:r>
            <w:proofErr w:type="spellStart"/>
            <w:r w:rsidR="005C5BAE">
              <w:rPr>
                <w:lang w:val="uk-UA"/>
              </w:rPr>
              <w:t>закупівель</w:t>
            </w:r>
            <w:proofErr w:type="spellEnd"/>
            <w:r w:rsidR="005C5BAE">
              <w:rPr>
                <w:lang w:val="uk-UA"/>
              </w:rPr>
              <w:t>, адміністративного, господарського та ресурсного забезпечення, управління державним майном, інформаційних технологій, здійснює загальне керівництво їх діяльністю та забезпечує виконання зазначених функцій Секретаріату.</w:t>
            </w:r>
          </w:p>
          <w:p w14:paraId="4ABACB33" w14:textId="6A8AEEF5" w:rsidR="005C5BAE" w:rsidRDefault="00192AC4" w:rsidP="005C5B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5C5BAE">
              <w:rPr>
                <w:lang w:val="uk-UA"/>
              </w:rPr>
              <w:t>Організовує роботу з документами в Секретаріаті, єдиний порядок документування, розробку та впровадження інформаційно-пошукових систем, підготовку документів на архівне зберігання.</w:t>
            </w:r>
          </w:p>
          <w:p w14:paraId="7D903340" w14:textId="25F94C11" w:rsidR="005C5BAE" w:rsidRDefault="00192AC4" w:rsidP="005C5B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5C5BAE">
              <w:rPr>
                <w:lang w:val="uk-UA"/>
              </w:rPr>
              <w:t>Організовує роботу Секретаріату щодо попереднього розгляду звернень громадян відповідно до Закону України «Про звернення громадян», запитів на інформацію згідно із Законом України «Про доступ до публічної інформації», надання письмових роз</w:t>
            </w:r>
            <w:r w:rsidR="005C5BAE" w:rsidRPr="005C5BAE">
              <w:rPr>
                <w:lang w:val="uk-UA"/>
              </w:rPr>
              <w:t>’</w:t>
            </w:r>
            <w:r w:rsidR="005C5BAE">
              <w:rPr>
                <w:lang w:val="uk-UA"/>
              </w:rPr>
              <w:t>яснень та направлення звернень за належністю до відповідних органів і органів місцевого самоврядування, підприємств, установ, організацій незалежно від форми власності, громадських об</w:t>
            </w:r>
            <w:r w:rsidR="005C5BAE" w:rsidRPr="005C5BAE">
              <w:rPr>
                <w:lang w:val="uk-UA"/>
              </w:rPr>
              <w:t>’</w:t>
            </w:r>
            <w:r w:rsidR="005C5BAE">
              <w:rPr>
                <w:lang w:val="uk-UA"/>
              </w:rPr>
              <w:t>єднань або посадових осіб у разі порушення у них питань, що не належать до компетенції Уповноваженого.</w:t>
            </w:r>
          </w:p>
          <w:p w14:paraId="5BF3A12F" w14:textId="792D665D" w:rsidR="005C5BAE" w:rsidRDefault="00192AC4" w:rsidP="005C5B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5C5BAE">
              <w:rPr>
                <w:lang w:val="uk-UA"/>
              </w:rPr>
              <w:t>Розглядає скарги на дії (бездіяльність) чи рішення посадових осіб підпорядкованих структурних підрозділів Секретаріату, крім скарг Героїв Радянського Союзу, Героїв Соціалістичної Праці, осіб з інвалідністю внаслідок війни.</w:t>
            </w:r>
          </w:p>
          <w:p w14:paraId="4870D888" w14:textId="2B16A621" w:rsidR="005B2390" w:rsidRDefault="00192AC4" w:rsidP="005C5B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5C5BAE">
              <w:rPr>
                <w:lang w:val="uk-UA"/>
              </w:rPr>
              <w:t>Організовує роботу Секретаріату щодо здійснення</w:t>
            </w:r>
            <w:r w:rsidR="005B2390">
              <w:rPr>
                <w:lang w:val="uk-UA"/>
              </w:rPr>
              <w:t xml:space="preserve"> контролю виконання документів.</w:t>
            </w:r>
          </w:p>
          <w:p w14:paraId="126D23F7" w14:textId="4F37EB08" w:rsidR="005B2390" w:rsidRDefault="00192AC4" w:rsidP="005C5B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5B2390">
              <w:rPr>
                <w:lang w:val="uk-UA"/>
              </w:rPr>
              <w:t>Організовує роботу щодо матеріально-технічного забезпечення Секретаріату: підтримання в належному стані адміністративної будівлі, автомобільного транспорту, капітального будівництва, реконструкції, капітального й поточного ремонту будівлі тощо для створення належних умов функціонування Секретаріату.</w:t>
            </w:r>
          </w:p>
          <w:p w14:paraId="3591F077" w14:textId="07917349" w:rsidR="005B2390" w:rsidRDefault="00192AC4" w:rsidP="005C5B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5B2390">
              <w:rPr>
                <w:lang w:val="uk-UA"/>
              </w:rPr>
              <w:t>Організовує впровадження та забезпечення ефективного використання сучасних електронних інформаційних систем, обслуговування локальних комп</w:t>
            </w:r>
            <w:r w:rsidR="005B2390" w:rsidRPr="005B2390">
              <w:rPr>
                <w:lang w:val="uk-UA"/>
              </w:rPr>
              <w:t>’</w:t>
            </w:r>
            <w:r w:rsidR="005B2390">
              <w:rPr>
                <w:lang w:val="uk-UA"/>
              </w:rPr>
              <w:t>ютерних та телефонних мереж, забезпечення ремонту та обслуговування комп</w:t>
            </w:r>
            <w:r w:rsidR="005B2390" w:rsidRPr="005B2390">
              <w:rPr>
                <w:lang w:val="uk-UA"/>
              </w:rPr>
              <w:t>’</w:t>
            </w:r>
            <w:r w:rsidR="005B2390">
              <w:rPr>
                <w:lang w:val="uk-UA"/>
              </w:rPr>
              <w:t>ютерної оргтехніки.</w:t>
            </w:r>
          </w:p>
          <w:p w14:paraId="5FCC2500" w14:textId="672A4EC0" w:rsidR="005B2390" w:rsidRDefault="00192AC4" w:rsidP="005C5B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</w:t>
            </w:r>
            <w:r w:rsidR="005B2390">
              <w:rPr>
                <w:lang w:val="uk-UA"/>
              </w:rPr>
              <w:t xml:space="preserve">Організовує роботу із захисту інформації, </w:t>
            </w:r>
            <w:proofErr w:type="spellStart"/>
            <w:r w:rsidR="005B2390">
              <w:rPr>
                <w:lang w:val="uk-UA"/>
              </w:rPr>
              <w:t>про</w:t>
            </w:r>
            <w:r>
              <w:rPr>
                <w:lang w:val="uk-UA"/>
              </w:rPr>
              <w:t>є</w:t>
            </w:r>
            <w:r w:rsidR="005B2390">
              <w:rPr>
                <w:lang w:val="uk-UA"/>
              </w:rPr>
              <w:t>ктування</w:t>
            </w:r>
            <w:proofErr w:type="spellEnd"/>
            <w:r>
              <w:rPr>
                <w:lang w:val="uk-UA"/>
              </w:rPr>
              <w:t>,</w:t>
            </w:r>
            <w:r w:rsidR="005B2390">
              <w:rPr>
                <w:lang w:val="uk-UA"/>
              </w:rPr>
              <w:t xml:space="preserve"> розроблення і модернізації комплексної системи захисту інформації.</w:t>
            </w:r>
          </w:p>
          <w:p w14:paraId="7B26606A" w14:textId="138F16A8" w:rsidR="005B2390" w:rsidRDefault="00192AC4" w:rsidP="005C5B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5B2390">
              <w:rPr>
                <w:lang w:val="uk-UA"/>
              </w:rPr>
              <w:t>Забезпечує організацію роботи з розвитку та експлуатації мереж передачі даних та адміністрування загальносистемного програмного забезпечення та безперебійної роботи комп</w:t>
            </w:r>
            <w:r w:rsidR="005B2390" w:rsidRPr="005B2390">
              <w:rPr>
                <w:lang w:val="uk-UA"/>
              </w:rPr>
              <w:t>’</w:t>
            </w:r>
            <w:r w:rsidR="005B2390">
              <w:rPr>
                <w:lang w:val="uk-UA"/>
              </w:rPr>
              <w:t>ютерної мережі Секретаріату.</w:t>
            </w:r>
          </w:p>
          <w:p w14:paraId="00099906" w14:textId="56CC23E4" w:rsidR="005B2390" w:rsidRDefault="00192AC4" w:rsidP="005C5B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5B2390">
              <w:rPr>
                <w:lang w:val="uk-UA"/>
              </w:rPr>
              <w:t>Організовує впровадження та належне функціонування системи електронного документообігу Секретаріату</w:t>
            </w:r>
            <w:r w:rsidR="000579C7">
              <w:rPr>
                <w:lang w:val="uk-UA"/>
              </w:rPr>
              <w:t xml:space="preserve"> </w:t>
            </w:r>
            <w:r w:rsidR="005B2390">
              <w:rPr>
                <w:lang w:val="uk-UA"/>
              </w:rPr>
              <w:t>з використанням електронного цифрового підпису.</w:t>
            </w:r>
          </w:p>
          <w:p w14:paraId="60420A46" w14:textId="6F967562" w:rsidR="005B2390" w:rsidRDefault="00192AC4" w:rsidP="005C5B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5B2390">
              <w:rPr>
                <w:lang w:val="uk-UA"/>
              </w:rPr>
              <w:t>Організовує виконання доручень Уповноваженого.</w:t>
            </w:r>
          </w:p>
          <w:p w14:paraId="18F9F175" w14:textId="021C5240" w:rsidR="003B75F0" w:rsidRDefault="00192AC4" w:rsidP="005C5B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5B2390">
              <w:rPr>
                <w:lang w:val="uk-UA"/>
              </w:rPr>
              <w:t>Уносить пропозиції Уповноваженому в межах наданих повноважень щодо структури та штатного</w:t>
            </w:r>
            <w:r w:rsidR="003B75F0">
              <w:rPr>
                <w:lang w:val="uk-UA"/>
              </w:rPr>
              <w:t xml:space="preserve"> розпису Секретаріату, щодо положень про структурні підрозділи та посадових інструкцій  працівників Секретаріату.</w:t>
            </w:r>
          </w:p>
          <w:p w14:paraId="7327EFEC" w14:textId="5A061327" w:rsidR="003B75F0" w:rsidRDefault="00192AC4" w:rsidP="003B75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3B75F0">
              <w:rPr>
                <w:lang w:val="uk-UA"/>
              </w:rPr>
              <w:t>Забезпечує дотримання працівниками підпорядкованих структурних підрозділів Секретаріату Закону України «Про державну службу», законодавства про працю, правил внутрішнього</w:t>
            </w:r>
            <w:r w:rsidR="005B2390">
              <w:rPr>
                <w:lang w:val="uk-UA"/>
              </w:rPr>
              <w:t xml:space="preserve"> </w:t>
            </w:r>
            <w:r w:rsidR="003B75F0">
              <w:rPr>
                <w:lang w:val="uk-UA"/>
              </w:rPr>
              <w:t>трудового та службового розпорядку, протипожежної безпеки.</w:t>
            </w:r>
          </w:p>
          <w:p w14:paraId="6C2A57B0" w14:textId="49D90008" w:rsidR="003B75F0" w:rsidRDefault="00192AC4" w:rsidP="003B75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3B75F0">
              <w:rPr>
                <w:lang w:val="uk-UA"/>
              </w:rPr>
              <w:t>Забезпечує взаємодію Секретаріату й відповідних структурних підрозділів із державними органами й органами місцевого самоврядування, міжнародними та неурядовими організаціями, підприємствами, установами, організаціями.</w:t>
            </w:r>
          </w:p>
          <w:p w14:paraId="0300A2E6" w14:textId="0E4B12FC" w:rsidR="003B75F0" w:rsidRDefault="00192AC4" w:rsidP="003B75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3B75F0">
              <w:rPr>
                <w:lang w:val="uk-UA"/>
              </w:rPr>
              <w:t>Представляє Секретаріат як Юридичну особу в цивільно-правових відносинах з питань, що належать до його повноважень.</w:t>
            </w:r>
          </w:p>
          <w:p w14:paraId="7D2D98FD" w14:textId="52183140" w:rsidR="005C5BAE" w:rsidRPr="005C5BAE" w:rsidRDefault="00192AC4" w:rsidP="003B75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3B75F0">
              <w:rPr>
                <w:lang w:val="uk-UA"/>
              </w:rPr>
              <w:t>Виконує інші функції за дорученням Уповноваженого.</w:t>
            </w:r>
            <w:r w:rsidR="005B2390">
              <w:rPr>
                <w:lang w:val="uk-UA"/>
              </w:rPr>
              <w:t xml:space="preserve"> </w:t>
            </w:r>
            <w:r w:rsidR="005C5BAE">
              <w:rPr>
                <w:lang w:val="uk-UA"/>
              </w:rPr>
              <w:t xml:space="preserve"> </w:t>
            </w:r>
          </w:p>
        </w:tc>
      </w:tr>
      <w:tr w:rsidR="00DA37C9" w:rsidRPr="00DA37C9" w14:paraId="7548CA2B" w14:textId="77777777" w:rsidTr="008E7A3B">
        <w:trPr>
          <w:trHeight w:val="2216"/>
        </w:trPr>
        <w:tc>
          <w:tcPr>
            <w:tcW w:w="2972" w:type="dxa"/>
            <w:gridSpan w:val="2"/>
          </w:tcPr>
          <w:p w14:paraId="65EBBD4C" w14:textId="200B110B" w:rsidR="00DA37C9" w:rsidRPr="002366FB" w:rsidRDefault="00DA37C9" w:rsidP="00DA37C9">
            <w:pPr>
              <w:rPr>
                <w:lang w:val="uk-UA"/>
              </w:rPr>
            </w:pPr>
            <w:r w:rsidRPr="002366FB">
              <w:rPr>
                <w:lang w:val="uk-UA"/>
              </w:rPr>
              <w:lastRenderedPageBreak/>
              <w:t xml:space="preserve"> Умови оплати праці</w:t>
            </w:r>
          </w:p>
        </w:tc>
        <w:tc>
          <w:tcPr>
            <w:tcW w:w="6503" w:type="dxa"/>
            <w:vAlign w:val="center"/>
          </w:tcPr>
          <w:p w14:paraId="60B3422E" w14:textId="69D6C7FD" w:rsidR="00DA37C9" w:rsidRPr="00B65E69" w:rsidRDefault="00DA37C9" w:rsidP="00DA37C9">
            <w:pPr>
              <w:ind w:right="127"/>
            </w:pPr>
            <w:r w:rsidRPr="00B65E69">
              <w:t xml:space="preserve">1) </w:t>
            </w:r>
            <w:proofErr w:type="spellStart"/>
            <w:r w:rsidRPr="00B65E69">
              <w:t>посадовий</w:t>
            </w:r>
            <w:proofErr w:type="spellEnd"/>
            <w:r w:rsidRPr="00B65E69">
              <w:t xml:space="preserve"> оклад – </w:t>
            </w:r>
            <w:r w:rsidRPr="00B65E69">
              <w:rPr>
                <w:lang w:val="uk-UA"/>
              </w:rPr>
              <w:t>3</w:t>
            </w:r>
            <w:r w:rsidR="003B75F0">
              <w:rPr>
                <w:lang w:val="uk-UA"/>
              </w:rPr>
              <w:t>4450</w:t>
            </w:r>
            <w:r w:rsidRPr="00B65E69">
              <w:t xml:space="preserve"> </w:t>
            </w:r>
            <w:proofErr w:type="spellStart"/>
            <w:r w:rsidRPr="00B65E69">
              <w:t>гривень</w:t>
            </w:r>
            <w:proofErr w:type="spellEnd"/>
            <w:r w:rsidRPr="00B65E69">
              <w:t xml:space="preserve">; </w:t>
            </w:r>
          </w:p>
          <w:p w14:paraId="57FEC450" w14:textId="238929B5" w:rsidR="00DA37C9" w:rsidRPr="00B65E69" w:rsidRDefault="00DA37C9" w:rsidP="00DA37C9">
            <w:pPr>
              <w:ind w:right="97"/>
            </w:pPr>
            <w:r w:rsidRPr="00B65E69">
              <w:t xml:space="preserve">2) надбавка до </w:t>
            </w:r>
            <w:proofErr w:type="spellStart"/>
            <w:r w:rsidRPr="00B65E69">
              <w:t>посадового</w:t>
            </w:r>
            <w:proofErr w:type="spellEnd"/>
            <w:r w:rsidRPr="00B65E69">
              <w:t xml:space="preserve"> окладу за ранг – </w:t>
            </w:r>
            <w:proofErr w:type="spellStart"/>
            <w:r w:rsidRPr="00B65E69">
              <w:t>відповідно</w:t>
            </w:r>
            <w:proofErr w:type="spellEnd"/>
            <w:r w:rsidRPr="00B65E69">
              <w:t xml:space="preserve"> до постанови </w:t>
            </w:r>
            <w:proofErr w:type="spellStart"/>
            <w:r w:rsidRPr="00B65E69">
              <w:t>Кабінету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Міністрів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України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від</w:t>
            </w:r>
            <w:proofErr w:type="spellEnd"/>
            <w:r w:rsidRPr="00B65E69">
              <w:t xml:space="preserve"> 18 </w:t>
            </w:r>
            <w:proofErr w:type="spellStart"/>
            <w:r w:rsidRPr="00B65E69">
              <w:t>січня</w:t>
            </w:r>
            <w:proofErr w:type="spellEnd"/>
            <w:r w:rsidRPr="00B65E69">
              <w:t xml:space="preserve"> 2017 року № 15 </w:t>
            </w:r>
            <w:r w:rsidR="00BB2994">
              <w:rPr>
                <w:lang w:val="uk-UA"/>
              </w:rPr>
              <w:t>«</w:t>
            </w:r>
            <w:proofErr w:type="spellStart"/>
            <w:r w:rsidRPr="00B65E69">
              <w:t>Питання</w:t>
            </w:r>
            <w:proofErr w:type="spellEnd"/>
            <w:r w:rsidRPr="00B65E69">
              <w:t xml:space="preserve"> оплати </w:t>
            </w:r>
            <w:proofErr w:type="spellStart"/>
            <w:r w:rsidRPr="00B65E69">
              <w:t>праці</w:t>
            </w:r>
            <w:proofErr w:type="spellEnd"/>
            <w:r w:rsidRPr="00B65E69">
              <w:t xml:space="preserve"> працівників державних </w:t>
            </w:r>
            <w:proofErr w:type="spellStart"/>
            <w:r w:rsidRPr="00B65E69">
              <w:t>органів</w:t>
            </w:r>
            <w:proofErr w:type="spellEnd"/>
            <w:r w:rsidR="00BB2994">
              <w:rPr>
                <w:lang w:val="uk-UA"/>
              </w:rPr>
              <w:t>»</w:t>
            </w:r>
            <w:r w:rsidRPr="00B65E69">
              <w:t>;</w:t>
            </w:r>
          </w:p>
          <w:p w14:paraId="73469180" w14:textId="050411F1" w:rsidR="00DA37C9" w:rsidRPr="00B65E69" w:rsidRDefault="00DA37C9" w:rsidP="00DA37C9">
            <w:pPr>
              <w:ind w:left="-27" w:right="125"/>
              <w:jc w:val="both"/>
              <w:rPr>
                <w:lang w:val="uk-UA"/>
              </w:rPr>
            </w:pPr>
            <w:r w:rsidRPr="00B65E69">
              <w:t xml:space="preserve">3) </w:t>
            </w:r>
            <w:proofErr w:type="spellStart"/>
            <w:r w:rsidRPr="00B65E69">
              <w:t>інші</w:t>
            </w:r>
            <w:proofErr w:type="spellEnd"/>
            <w:r w:rsidRPr="00B65E69">
              <w:t xml:space="preserve"> надбавки, доплати та </w:t>
            </w:r>
            <w:proofErr w:type="spellStart"/>
            <w:r w:rsidRPr="00B65E69">
              <w:t>премії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відповідно</w:t>
            </w:r>
            <w:proofErr w:type="spellEnd"/>
            <w:r w:rsidRPr="00B65E69">
              <w:t xml:space="preserve"> до </w:t>
            </w:r>
            <w:proofErr w:type="spellStart"/>
            <w:r w:rsidRPr="00B65E69">
              <w:t>статті</w:t>
            </w:r>
            <w:proofErr w:type="spellEnd"/>
            <w:r w:rsidRPr="00B65E69">
              <w:t xml:space="preserve"> 52 Закону </w:t>
            </w:r>
            <w:proofErr w:type="spellStart"/>
            <w:r w:rsidRPr="00B65E69">
              <w:t>України</w:t>
            </w:r>
            <w:proofErr w:type="spellEnd"/>
            <w:r w:rsidR="000579C7">
              <w:rPr>
                <w:lang w:val="uk-UA"/>
              </w:rPr>
              <w:t xml:space="preserve"> «</w:t>
            </w:r>
            <w:r w:rsidRPr="00B65E69">
              <w:t xml:space="preserve">Про </w:t>
            </w:r>
            <w:proofErr w:type="spellStart"/>
            <w:r w:rsidRPr="00B65E69">
              <w:t>державну</w:t>
            </w:r>
            <w:proofErr w:type="spellEnd"/>
            <w:r w:rsidRPr="00B65E69">
              <w:t xml:space="preserve"> службу</w:t>
            </w:r>
            <w:r w:rsidR="000579C7">
              <w:rPr>
                <w:lang w:val="uk-UA"/>
              </w:rPr>
              <w:t>»</w:t>
            </w:r>
            <w:r w:rsidRPr="00B65E69">
              <w:t>.</w:t>
            </w:r>
          </w:p>
        </w:tc>
      </w:tr>
      <w:tr w:rsidR="00DA37C9" w:rsidRPr="002B1947" w14:paraId="4442F666" w14:textId="77777777" w:rsidTr="008E7A3B">
        <w:trPr>
          <w:trHeight w:val="1808"/>
        </w:trPr>
        <w:tc>
          <w:tcPr>
            <w:tcW w:w="2972" w:type="dxa"/>
            <w:gridSpan w:val="2"/>
          </w:tcPr>
          <w:p w14:paraId="0480B867" w14:textId="77777777" w:rsidR="00DA37C9" w:rsidRPr="002366FB" w:rsidRDefault="00DA37C9" w:rsidP="00DA37C9">
            <w:pPr>
              <w:rPr>
                <w:lang w:val="uk-UA"/>
              </w:rPr>
            </w:pPr>
            <w:r w:rsidRPr="002366FB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03" w:type="dxa"/>
          </w:tcPr>
          <w:p w14:paraId="6FC31989" w14:textId="2AB79ACD" w:rsidR="003B75F0" w:rsidRDefault="003B75F0" w:rsidP="00DA37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Безстрокове</w:t>
            </w:r>
          </w:p>
          <w:p w14:paraId="7C22206D" w14:textId="795DCF27" w:rsidR="00DA37C9" w:rsidRPr="00B65E69" w:rsidRDefault="00297AF6" w:rsidP="00DA37C9">
            <w:pPr>
              <w:jc w:val="both"/>
              <w:rPr>
                <w:lang w:val="uk-UA"/>
              </w:rPr>
            </w:pPr>
            <w:r w:rsidRPr="00B65E69">
              <w:rPr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</w:t>
            </w:r>
            <w:r w:rsidRPr="00B65E69">
              <w:rPr>
                <w:rFonts w:ascii="Calibri" w:hAnsi="Calibri" w:cs="Calibri"/>
                <w:lang w:val="uk-UA"/>
              </w:rPr>
              <w:t>'</w:t>
            </w:r>
            <w:r w:rsidRPr="00B65E69">
              <w:rPr>
                <w:lang w:val="uk-UA"/>
              </w:rPr>
              <w:t>язкового проведення конкурсу щороку.</w:t>
            </w:r>
            <w:r w:rsidR="00DB456F" w:rsidRPr="00B65E69">
              <w:rPr>
                <w:lang w:val="uk-UA"/>
              </w:rPr>
              <w:t xml:space="preserve"> </w:t>
            </w:r>
          </w:p>
        </w:tc>
      </w:tr>
      <w:tr w:rsidR="00DA37C9" w:rsidRPr="00FF76B5" w14:paraId="45951586" w14:textId="77777777" w:rsidTr="008E7A3B">
        <w:trPr>
          <w:trHeight w:val="1823"/>
        </w:trPr>
        <w:tc>
          <w:tcPr>
            <w:tcW w:w="2972" w:type="dxa"/>
            <w:gridSpan w:val="2"/>
          </w:tcPr>
          <w:p w14:paraId="57F38A2F" w14:textId="0E3A4EED" w:rsidR="00DA37C9" w:rsidRPr="002366FB" w:rsidRDefault="00DA37C9" w:rsidP="00DA37C9">
            <w:pPr>
              <w:rPr>
                <w:lang w:val="uk-UA"/>
              </w:rPr>
            </w:pPr>
            <w:r w:rsidRPr="002366FB">
              <w:rPr>
                <w:lang w:val="uk-UA"/>
              </w:rPr>
              <w:t xml:space="preserve">Перелік інформації, необхідної для </w:t>
            </w:r>
            <w:r w:rsidR="00297AF6" w:rsidRPr="002366FB">
              <w:rPr>
                <w:lang w:val="uk-UA"/>
              </w:rPr>
              <w:t>участі в конкурсі</w:t>
            </w:r>
            <w:r w:rsidR="000B74C9" w:rsidRPr="002366FB">
              <w:rPr>
                <w:lang w:val="uk-UA"/>
              </w:rPr>
              <w:t>,</w:t>
            </w:r>
            <w:r w:rsidRPr="002366FB">
              <w:rPr>
                <w:lang w:val="uk-UA"/>
              </w:rPr>
              <w:t xml:space="preserve"> та строк її подання</w:t>
            </w:r>
          </w:p>
        </w:tc>
        <w:tc>
          <w:tcPr>
            <w:tcW w:w="6503" w:type="dxa"/>
            <w:vAlign w:val="center"/>
          </w:tcPr>
          <w:p w14:paraId="2BD41D71" w14:textId="5D9EF0A0" w:rsidR="00DA37C9" w:rsidRPr="00B65E69" w:rsidRDefault="00DA37C9" w:rsidP="00DA37C9">
            <w:pPr>
              <w:pStyle w:val="ab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B65E69">
              <w:rPr>
                <w:bCs/>
                <w:sz w:val="24"/>
                <w:szCs w:val="24"/>
              </w:rPr>
              <w:t xml:space="preserve">Особа, яка бажає взяти участь у </w:t>
            </w:r>
            <w:r w:rsidR="00297AF6" w:rsidRPr="00B65E69">
              <w:rPr>
                <w:bCs/>
                <w:sz w:val="24"/>
                <w:szCs w:val="24"/>
              </w:rPr>
              <w:t xml:space="preserve">конкурсі </w:t>
            </w:r>
            <w:r w:rsidR="0008640E" w:rsidRPr="00B65E69">
              <w:rPr>
                <w:bCs/>
                <w:sz w:val="24"/>
                <w:szCs w:val="24"/>
              </w:rPr>
              <w:t>з</w:t>
            </w:r>
            <w:r w:rsidRPr="00B65E69">
              <w:rPr>
                <w:bCs/>
                <w:sz w:val="24"/>
                <w:szCs w:val="24"/>
              </w:rPr>
              <w:t xml:space="preserve"> призначення на  посаду, подає таку інформацію через Єдиний портал вакансій державної служби:</w:t>
            </w:r>
          </w:p>
          <w:p w14:paraId="037A2F80" w14:textId="2FF234C0" w:rsidR="00DA37C9" w:rsidRPr="00B65E69" w:rsidRDefault="00DA37C9" w:rsidP="00DA37C9">
            <w:pPr>
              <w:pStyle w:val="ab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B65E69">
              <w:rPr>
                <w:bCs/>
                <w:sz w:val="24"/>
                <w:szCs w:val="24"/>
              </w:rPr>
              <w:t>1) заяву</w:t>
            </w:r>
            <w:r w:rsidR="007827C9" w:rsidRPr="00B65E69">
              <w:rPr>
                <w:bCs/>
                <w:sz w:val="24"/>
                <w:szCs w:val="24"/>
              </w:rPr>
              <w:t xml:space="preserve"> про участь у конкурсі </w:t>
            </w:r>
            <w:r w:rsidRPr="00B65E69">
              <w:rPr>
                <w:bCs/>
                <w:sz w:val="24"/>
                <w:szCs w:val="24"/>
              </w:rPr>
              <w:t xml:space="preserve">із зазначенням основних мотивів щодо зайняття посади за формою згідно з додатком </w:t>
            </w:r>
            <w:r w:rsidR="007827C9" w:rsidRPr="00B65E69">
              <w:rPr>
                <w:bCs/>
                <w:sz w:val="24"/>
                <w:szCs w:val="24"/>
              </w:rPr>
              <w:t>2</w:t>
            </w:r>
            <w:r w:rsidR="00380F30" w:rsidRPr="00B65E69">
              <w:rPr>
                <w:bCs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</w:t>
            </w:r>
            <w:r w:rsidR="00AB383D" w:rsidRPr="00B65E69">
              <w:rPr>
                <w:bCs/>
                <w:sz w:val="24"/>
                <w:szCs w:val="24"/>
              </w:rPr>
              <w:t xml:space="preserve"> (Офіційний вісник України, 2016 р., № 28, ст.1116; 2020 р., № 17, ст. 676)</w:t>
            </w:r>
            <w:r w:rsidRPr="00B65E69">
              <w:rPr>
                <w:bCs/>
                <w:sz w:val="24"/>
                <w:szCs w:val="24"/>
              </w:rPr>
              <w:t>;</w:t>
            </w:r>
          </w:p>
          <w:p w14:paraId="40547CCE" w14:textId="680C2DCB" w:rsidR="007827C9" w:rsidRPr="00B65E69" w:rsidRDefault="00DA37C9" w:rsidP="00380F30">
            <w:pPr>
              <w:pStyle w:val="ab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65E69">
              <w:rPr>
                <w:bCs/>
                <w:sz w:val="24"/>
                <w:szCs w:val="24"/>
              </w:rPr>
              <w:t xml:space="preserve">2) </w:t>
            </w:r>
            <w:r w:rsidR="007827C9" w:rsidRPr="00B65E69">
              <w:rPr>
                <w:sz w:val="24"/>
                <w:szCs w:val="24"/>
              </w:rPr>
              <w:t>резюме за формою згідно з </w:t>
            </w:r>
            <w:hyperlink r:id="rId5" w:anchor="n1039" w:history="1">
              <w:r w:rsidR="007827C9" w:rsidRPr="00B65E69">
                <w:rPr>
                  <w:rStyle w:val="a3"/>
                  <w:color w:val="auto"/>
                  <w:sz w:val="24"/>
                  <w:szCs w:val="24"/>
                </w:rPr>
                <w:t>додатком 2</w:t>
              </w:r>
            </w:hyperlink>
            <w:hyperlink r:id="rId6" w:anchor="n1039" w:history="1">
              <w:r w:rsidR="007827C9" w:rsidRPr="00B65E69">
                <w:rPr>
                  <w:rStyle w:val="a3"/>
                  <w:b/>
                  <w:bCs/>
                  <w:color w:val="auto"/>
                  <w:sz w:val="24"/>
                  <w:szCs w:val="24"/>
                  <w:vertAlign w:val="superscript"/>
                </w:rPr>
                <w:t>1</w:t>
              </w:r>
            </w:hyperlink>
            <w:r w:rsidR="00380F30" w:rsidRPr="00B65E69">
              <w:rPr>
                <w:bCs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      </w:t>
            </w:r>
            <w:r w:rsidR="00380F30" w:rsidRPr="00B65E69">
              <w:rPr>
                <w:bCs/>
                <w:sz w:val="24"/>
                <w:szCs w:val="24"/>
              </w:rPr>
              <w:lastRenderedPageBreak/>
              <w:t>25 березня 2016 р. № 246</w:t>
            </w:r>
            <w:r w:rsidR="00AB383D" w:rsidRPr="00B65E69">
              <w:rPr>
                <w:bCs/>
                <w:sz w:val="24"/>
                <w:szCs w:val="24"/>
              </w:rPr>
              <w:t xml:space="preserve"> (Офіційний вісник України, 2016 р., № 28, ст.1116; 2020 р., № 17, ст. 676); </w:t>
            </w:r>
            <w:r w:rsidR="007827C9" w:rsidRPr="00B65E69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14:paraId="0444C5BA" w14:textId="77777777" w:rsidR="007827C9" w:rsidRPr="00B65E69" w:rsidRDefault="007827C9" w:rsidP="0078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0" w:name="n1172"/>
            <w:bookmarkEnd w:id="0"/>
            <w:proofErr w:type="spellStart"/>
            <w:r w:rsidRPr="00B65E69">
              <w:t>прізвище</w:t>
            </w:r>
            <w:proofErr w:type="spellEnd"/>
            <w:r w:rsidRPr="00B65E69">
              <w:t xml:space="preserve">, </w:t>
            </w:r>
            <w:proofErr w:type="spellStart"/>
            <w:r w:rsidRPr="00B65E69">
              <w:t>ім’я</w:t>
            </w:r>
            <w:proofErr w:type="spellEnd"/>
            <w:r w:rsidRPr="00B65E69">
              <w:t xml:space="preserve">, по </w:t>
            </w:r>
            <w:proofErr w:type="spellStart"/>
            <w:r w:rsidRPr="00B65E69">
              <w:t>батькові</w:t>
            </w:r>
            <w:proofErr w:type="spellEnd"/>
            <w:r w:rsidRPr="00B65E69">
              <w:t xml:space="preserve"> кандидата;</w:t>
            </w:r>
          </w:p>
          <w:p w14:paraId="5D6230B5" w14:textId="77777777" w:rsidR="007827C9" w:rsidRPr="00B65E69" w:rsidRDefault="007827C9" w:rsidP="0078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1" w:name="n1173"/>
            <w:bookmarkEnd w:id="1"/>
            <w:proofErr w:type="spellStart"/>
            <w:r w:rsidRPr="00B65E69">
              <w:t>реквізити</w:t>
            </w:r>
            <w:proofErr w:type="spellEnd"/>
            <w:r w:rsidRPr="00B65E69">
              <w:t xml:space="preserve"> документа, що </w:t>
            </w:r>
            <w:proofErr w:type="spellStart"/>
            <w:r w:rsidRPr="00B65E69">
              <w:t>посвідчує</w:t>
            </w:r>
            <w:proofErr w:type="spellEnd"/>
            <w:r w:rsidRPr="00B65E69">
              <w:t xml:space="preserve"> особу та </w:t>
            </w:r>
            <w:proofErr w:type="spellStart"/>
            <w:r w:rsidRPr="00B65E69">
              <w:t>підтверджує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громадянство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України</w:t>
            </w:r>
            <w:proofErr w:type="spellEnd"/>
            <w:r w:rsidRPr="00B65E69">
              <w:t>;</w:t>
            </w:r>
          </w:p>
          <w:p w14:paraId="1AF37C2D" w14:textId="77777777" w:rsidR="007827C9" w:rsidRPr="00B65E69" w:rsidRDefault="007827C9" w:rsidP="0078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2" w:name="n1174"/>
            <w:bookmarkEnd w:id="2"/>
            <w:proofErr w:type="spellStart"/>
            <w:r w:rsidRPr="00B65E69">
              <w:t>підтвердження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наявності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відповідного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ступеня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вищої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освіти</w:t>
            </w:r>
            <w:proofErr w:type="spellEnd"/>
            <w:r w:rsidRPr="00B65E69">
              <w:t>;</w:t>
            </w:r>
          </w:p>
          <w:p w14:paraId="09EF9DD2" w14:textId="77777777" w:rsidR="007827C9" w:rsidRPr="00B65E69" w:rsidRDefault="007827C9" w:rsidP="0078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3" w:name="n1175"/>
            <w:bookmarkEnd w:id="3"/>
            <w:proofErr w:type="spellStart"/>
            <w:r w:rsidRPr="00B65E69">
              <w:t>підтвердження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рівня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вільного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володіння</w:t>
            </w:r>
            <w:proofErr w:type="spellEnd"/>
            <w:r w:rsidRPr="00B65E69">
              <w:t xml:space="preserve"> державною </w:t>
            </w:r>
            <w:proofErr w:type="spellStart"/>
            <w:r w:rsidRPr="00B65E69">
              <w:t>мовою</w:t>
            </w:r>
            <w:proofErr w:type="spellEnd"/>
            <w:r w:rsidRPr="00B65E69">
              <w:t>;</w:t>
            </w:r>
          </w:p>
          <w:p w14:paraId="4886421A" w14:textId="77777777" w:rsidR="007827C9" w:rsidRPr="00B65E69" w:rsidRDefault="007827C9" w:rsidP="0078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4" w:name="n1176"/>
            <w:bookmarkEnd w:id="4"/>
            <w:proofErr w:type="spellStart"/>
            <w:r w:rsidRPr="00B65E69">
              <w:t>відомості</w:t>
            </w:r>
            <w:proofErr w:type="spellEnd"/>
            <w:r w:rsidRPr="00B65E69">
              <w:t xml:space="preserve"> про стаж роботи, стаж </w:t>
            </w:r>
            <w:proofErr w:type="spellStart"/>
            <w:r w:rsidRPr="00B65E69">
              <w:t>державної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служби</w:t>
            </w:r>
            <w:proofErr w:type="spellEnd"/>
            <w:r w:rsidRPr="00B65E69">
              <w:t xml:space="preserve"> (за </w:t>
            </w:r>
            <w:proofErr w:type="spellStart"/>
            <w:r w:rsidRPr="00B65E69">
              <w:t>наявності</w:t>
            </w:r>
            <w:proofErr w:type="spellEnd"/>
            <w:r w:rsidRPr="00B65E69">
              <w:t xml:space="preserve">), </w:t>
            </w:r>
            <w:proofErr w:type="spellStart"/>
            <w:r w:rsidRPr="00B65E69">
              <w:t>досвід</w:t>
            </w:r>
            <w:proofErr w:type="spellEnd"/>
            <w:r w:rsidRPr="00B65E69">
              <w:t xml:space="preserve"> роботи на </w:t>
            </w:r>
            <w:proofErr w:type="spellStart"/>
            <w:r w:rsidRPr="00B65E69">
              <w:t>відповідних</w:t>
            </w:r>
            <w:proofErr w:type="spellEnd"/>
            <w:r w:rsidRPr="00B65E69">
              <w:t xml:space="preserve"> посадах у </w:t>
            </w:r>
            <w:proofErr w:type="spellStart"/>
            <w:r w:rsidRPr="00B65E69">
              <w:t>відповідній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сфері</w:t>
            </w:r>
            <w:proofErr w:type="spellEnd"/>
            <w:r w:rsidRPr="00B65E69">
              <w:t xml:space="preserve">, </w:t>
            </w:r>
            <w:proofErr w:type="spellStart"/>
            <w:r w:rsidRPr="00B65E69">
              <w:t>визначеній</w:t>
            </w:r>
            <w:proofErr w:type="spellEnd"/>
            <w:r w:rsidRPr="00B65E69">
              <w:t xml:space="preserve"> в </w:t>
            </w:r>
            <w:proofErr w:type="spellStart"/>
            <w:r w:rsidRPr="00B65E69">
              <w:t>умовах</w:t>
            </w:r>
            <w:proofErr w:type="spellEnd"/>
            <w:r w:rsidRPr="00B65E69">
              <w:t xml:space="preserve"> конкурсу, та на </w:t>
            </w:r>
            <w:proofErr w:type="spellStart"/>
            <w:r w:rsidRPr="00B65E69">
              <w:t>керівних</w:t>
            </w:r>
            <w:proofErr w:type="spellEnd"/>
            <w:r w:rsidRPr="00B65E69">
              <w:t xml:space="preserve"> посадах (за </w:t>
            </w:r>
            <w:proofErr w:type="spellStart"/>
            <w:r w:rsidRPr="00B65E69">
              <w:t>наявності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відповідних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вимог</w:t>
            </w:r>
            <w:proofErr w:type="spellEnd"/>
            <w:r w:rsidRPr="00B65E69">
              <w:t>);</w:t>
            </w:r>
          </w:p>
          <w:p w14:paraId="34305113" w14:textId="43BE7F3F" w:rsidR="00DA37C9" w:rsidRPr="00B65E69" w:rsidRDefault="00DA37C9" w:rsidP="00DA37C9">
            <w:pPr>
              <w:pStyle w:val="ab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B65E69">
              <w:rPr>
                <w:bCs/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BB2994">
              <w:rPr>
                <w:bCs/>
                <w:sz w:val="24"/>
                <w:szCs w:val="24"/>
              </w:rPr>
              <w:t>«</w:t>
            </w:r>
            <w:r w:rsidRPr="00B65E69">
              <w:rPr>
                <w:bCs/>
                <w:sz w:val="24"/>
                <w:szCs w:val="24"/>
              </w:rPr>
              <w:t>Про очищення влади</w:t>
            </w:r>
            <w:r w:rsidR="00BB2994">
              <w:rPr>
                <w:bCs/>
                <w:sz w:val="24"/>
                <w:szCs w:val="24"/>
              </w:rPr>
              <w:t>»</w:t>
            </w:r>
            <w:r w:rsidRPr="00B65E69">
              <w:rPr>
                <w:bCs/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3CA327FC" w14:textId="0939AD7D" w:rsidR="00DA37C9" w:rsidRPr="00B65E69" w:rsidRDefault="00380F30" w:rsidP="00DA37C9">
            <w:pPr>
              <w:pStyle w:val="ab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65E69">
              <w:rPr>
                <w:bCs/>
                <w:sz w:val="24"/>
                <w:szCs w:val="24"/>
              </w:rPr>
              <w:t>Падача</w:t>
            </w:r>
            <w:proofErr w:type="spellEnd"/>
            <w:r w:rsidRPr="00B65E69">
              <w:rPr>
                <w:bCs/>
                <w:sz w:val="24"/>
                <w:szCs w:val="24"/>
              </w:rPr>
              <w:t xml:space="preserve"> д</w:t>
            </w:r>
            <w:r w:rsidR="00DA37C9" w:rsidRPr="00B65E69">
              <w:rPr>
                <w:bCs/>
                <w:sz w:val="24"/>
                <w:szCs w:val="24"/>
              </w:rPr>
              <w:t>одатк</w:t>
            </w:r>
            <w:r w:rsidRPr="00B65E69">
              <w:rPr>
                <w:bCs/>
                <w:sz w:val="24"/>
                <w:szCs w:val="24"/>
              </w:rPr>
              <w:t>ів</w:t>
            </w:r>
            <w:r w:rsidR="00DA37C9" w:rsidRPr="00B65E69">
              <w:rPr>
                <w:bCs/>
                <w:sz w:val="24"/>
                <w:szCs w:val="24"/>
              </w:rPr>
              <w:t xml:space="preserve"> до заяви не є обов’язков</w:t>
            </w:r>
            <w:r w:rsidRPr="00B65E69">
              <w:rPr>
                <w:bCs/>
                <w:sz w:val="24"/>
                <w:szCs w:val="24"/>
              </w:rPr>
              <w:t>ою</w:t>
            </w:r>
            <w:r w:rsidR="00DA37C9" w:rsidRPr="00B65E69">
              <w:rPr>
                <w:bCs/>
                <w:sz w:val="24"/>
                <w:szCs w:val="24"/>
              </w:rPr>
              <w:t>;</w:t>
            </w:r>
          </w:p>
          <w:p w14:paraId="5A41CAF8" w14:textId="77777777" w:rsidR="00DA37C9" w:rsidRPr="00B65E69" w:rsidRDefault="00DA37C9" w:rsidP="00DA37C9">
            <w:pPr>
              <w:pStyle w:val="ab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B65E69">
              <w:rPr>
                <w:bCs/>
                <w:sz w:val="24"/>
                <w:szCs w:val="24"/>
              </w:rPr>
              <w:t>4) 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14:paraId="6F5C5E28" w14:textId="0B34EE5D" w:rsidR="00DA37C9" w:rsidRPr="00B65E69" w:rsidRDefault="00DA37C9" w:rsidP="003B75F0">
            <w:pPr>
              <w:pStyle w:val="ab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65E69">
              <w:rPr>
                <w:bCs/>
                <w:sz w:val="24"/>
                <w:szCs w:val="24"/>
              </w:rPr>
              <w:t xml:space="preserve">Інформація приймається </w:t>
            </w:r>
            <w:r w:rsidR="00AB383D" w:rsidRPr="00B65E69">
              <w:rPr>
                <w:bCs/>
                <w:sz w:val="24"/>
                <w:szCs w:val="24"/>
              </w:rPr>
              <w:t xml:space="preserve">до 17 години </w:t>
            </w:r>
            <w:r w:rsidR="007801B1">
              <w:rPr>
                <w:bCs/>
                <w:sz w:val="24"/>
                <w:szCs w:val="24"/>
              </w:rPr>
              <w:t xml:space="preserve">06 липня </w:t>
            </w:r>
            <w:r w:rsidRPr="00B65E69">
              <w:rPr>
                <w:sz w:val="24"/>
                <w:szCs w:val="24"/>
              </w:rPr>
              <w:t>202</w:t>
            </w:r>
            <w:r w:rsidR="00AB383D" w:rsidRPr="00B65E69">
              <w:rPr>
                <w:sz w:val="24"/>
                <w:szCs w:val="24"/>
              </w:rPr>
              <w:t xml:space="preserve">1 </w:t>
            </w:r>
            <w:r w:rsidRPr="00B65E69">
              <w:rPr>
                <w:sz w:val="24"/>
                <w:szCs w:val="24"/>
              </w:rPr>
              <w:t>року</w:t>
            </w:r>
            <w:r w:rsidR="00AB383D" w:rsidRPr="00B65E69">
              <w:rPr>
                <w:sz w:val="24"/>
                <w:szCs w:val="24"/>
              </w:rPr>
              <w:t xml:space="preserve"> викл</w:t>
            </w:r>
            <w:r w:rsidR="00371EDD" w:rsidRPr="00B65E69">
              <w:rPr>
                <w:sz w:val="24"/>
                <w:szCs w:val="24"/>
              </w:rPr>
              <w:t>ю</w:t>
            </w:r>
            <w:r w:rsidR="00AB383D" w:rsidRPr="00B65E69">
              <w:rPr>
                <w:sz w:val="24"/>
                <w:szCs w:val="24"/>
              </w:rPr>
              <w:t>чно через Єдиний портал вакансій державної служби за посиланням</w:t>
            </w:r>
            <w:r w:rsidR="00371EDD" w:rsidRPr="00B65E69">
              <w:rPr>
                <w:sz w:val="24"/>
                <w:szCs w:val="24"/>
              </w:rPr>
              <w:t xml:space="preserve"> </w:t>
            </w:r>
            <w:hyperlink r:id="rId7" w:history="1">
              <w:r w:rsidR="00371EDD" w:rsidRPr="00B65E69">
                <w:rPr>
                  <w:rStyle w:val="a3"/>
                  <w:color w:val="auto"/>
                  <w:sz w:val="24"/>
                  <w:szCs w:val="24"/>
                </w:rPr>
                <w:t>https://career.gov.ua/</w:t>
              </w:r>
            </w:hyperlink>
          </w:p>
        </w:tc>
      </w:tr>
      <w:tr w:rsidR="000301AE" w:rsidRPr="0007516C" w14:paraId="6699CB21" w14:textId="77777777" w:rsidTr="008E7A3B">
        <w:trPr>
          <w:trHeight w:val="1509"/>
        </w:trPr>
        <w:tc>
          <w:tcPr>
            <w:tcW w:w="2972" w:type="dxa"/>
            <w:gridSpan w:val="2"/>
          </w:tcPr>
          <w:p w14:paraId="3C7EC891" w14:textId="2433AF61" w:rsidR="000301AE" w:rsidRPr="002366FB" w:rsidRDefault="000301AE" w:rsidP="000301AE">
            <w:pPr>
              <w:rPr>
                <w:lang w:val="uk-UA"/>
              </w:rPr>
            </w:pPr>
            <w:proofErr w:type="spellStart"/>
            <w:r w:rsidRPr="002366FB">
              <w:lastRenderedPageBreak/>
              <w:t>Додаткові</w:t>
            </w:r>
            <w:proofErr w:type="spellEnd"/>
            <w:r w:rsidRPr="002366FB">
              <w:t xml:space="preserve"> (</w:t>
            </w:r>
            <w:proofErr w:type="spellStart"/>
            <w:r w:rsidRPr="002366FB">
              <w:t>необов’язкові</w:t>
            </w:r>
            <w:proofErr w:type="spellEnd"/>
            <w:r w:rsidRPr="002366FB">
              <w:t xml:space="preserve">) </w:t>
            </w:r>
            <w:proofErr w:type="spellStart"/>
            <w:r w:rsidRPr="002366FB">
              <w:t>документи</w:t>
            </w:r>
            <w:proofErr w:type="spellEnd"/>
          </w:p>
        </w:tc>
        <w:tc>
          <w:tcPr>
            <w:tcW w:w="6503" w:type="dxa"/>
          </w:tcPr>
          <w:p w14:paraId="66E126C9" w14:textId="55F1517C" w:rsidR="000301AE" w:rsidRPr="00B65E69" w:rsidRDefault="000301AE" w:rsidP="000301AE">
            <w:pPr>
              <w:ind w:right="125"/>
              <w:rPr>
                <w:lang w:val="uk-UA"/>
              </w:rPr>
            </w:pPr>
            <w:proofErr w:type="spellStart"/>
            <w:r w:rsidRPr="00B65E69">
              <w:t>заява</w:t>
            </w:r>
            <w:proofErr w:type="spellEnd"/>
            <w:r w:rsidRPr="00B65E69">
              <w:t xml:space="preserve"> щодо </w:t>
            </w:r>
            <w:proofErr w:type="spellStart"/>
            <w:r w:rsidRPr="00B65E69">
              <w:t>забезпечення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розумним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пристосуванням</w:t>
            </w:r>
            <w:proofErr w:type="spellEnd"/>
            <w:r w:rsidRPr="00B65E69">
              <w:t xml:space="preserve"> за формою </w:t>
            </w:r>
            <w:proofErr w:type="spellStart"/>
            <w:r w:rsidRPr="00B65E69">
              <w:t>згідно</w:t>
            </w:r>
            <w:proofErr w:type="spellEnd"/>
            <w:r w:rsidRPr="00B65E69">
              <w:t xml:space="preserve"> з </w:t>
            </w:r>
            <w:proofErr w:type="spellStart"/>
            <w:r w:rsidRPr="00B65E69">
              <w:t>додатком</w:t>
            </w:r>
            <w:proofErr w:type="spellEnd"/>
            <w:r w:rsidRPr="00B65E69">
              <w:t xml:space="preserve"> 3 до Порядку проведення конкурсу на </w:t>
            </w:r>
            <w:proofErr w:type="spellStart"/>
            <w:r w:rsidRPr="00B65E69">
              <w:t>зайняття</w:t>
            </w:r>
            <w:proofErr w:type="spellEnd"/>
            <w:r w:rsidRPr="00B65E69">
              <w:t xml:space="preserve"> посад </w:t>
            </w:r>
            <w:proofErr w:type="spellStart"/>
            <w:r w:rsidRPr="00B65E69">
              <w:t>державної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служби</w:t>
            </w:r>
            <w:proofErr w:type="spellEnd"/>
            <w:r w:rsidR="00AB383D" w:rsidRPr="00B65E69">
              <w:rPr>
                <w:lang w:val="uk-UA"/>
              </w:rPr>
              <w:t xml:space="preserve">, </w:t>
            </w:r>
            <w:proofErr w:type="spellStart"/>
            <w:r w:rsidR="00AB383D" w:rsidRPr="00B65E69">
              <w:rPr>
                <w:bCs/>
              </w:rPr>
              <w:t>затвердженого</w:t>
            </w:r>
            <w:proofErr w:type="spellEnd"/>
            <w:r w:rsidR="00AB383D" w:rsidRPr="00B65E69">
              <w:rPr>
                <w:bCs/>
              </w:rPr>
              <w:t xml:space="preserve"> </w:t>
            </w:r>
            <w:proofErr w:type="spellStart"/>
            <w:r w:rsidR="00AB383D" w:rsidRPr="00B65E69">
              <w:rPr>
                <w:bCs/>
              </w:rPr>
              <w:t>постановою</w:t>
            </w:r>
            <w:proofErr w:type="spellEnd"/>
            <w:r w:rsidR="00AB383D" w:rsidRPr="00B65E69">
              <w:rPr>
                <w:bCs/>
              </w:rPr>
              <w:t xml:space="preserve"> </w:t>
            </w:r>
            <w:proofErr w:type="spellStart"/>
            <w:r w:rsidR="00AB383D" w:rsidRPr="00B65E69">
              <w:rPr>
                <w:bCs/>
              </w:rPr>
              <w:t>Кабінету</w:t>
            </w:r>
            <w:proofErr w:type="spellEnd"/>
            <w:r w:rsidR="00AB383D" w:rsidRPr="00B65E69">
              <w:rPr>
                <w:bCs/>
              </w:rPr>
              <w:t xml:space="preserve"> </w:t>
            </w:r>
            <w:proofErr w:type="spellStart"/>
            <w:r w:rsidR="00AB383D" w:rsidRPr="00B65E69">
              <w:rPr>
                <w:bCs/>
              </w:rPr>
              <w:t>Міністрів</w:t>
            </w:r>
            <w:proofErr w:type="spellEnd"/>
            <w:r w:rsidR="00AB383D" w:rsidRPr="00B65E69">
              <w:rPr>
                <w:bCs/>
              </w:rPr>
              <w:t xml:space="preserve"> </w:t>
            </w:r>
            <w:proofErr w:type="spellStart"/>
            <w:r w:rsidR="00AB383D" w:rsidRPr="00B65E69">
              <w:rPr>
                <w:bCs/>
              </w:rPr>
              <w:t>України</w:t>
            </w:r>
            <w:proofErr w:type="spellEnd"/>
            <w:r w:rsidR="00AB383D" w:rsidRPr="00B65E69">
              <w:rPr>
                <w:bCs/>
              </w:rPr>
              <w:t xml:space="preserve"> </w:t>
            </w:r>
            <w:proofErr w:type="spellStart"/>
            <w:r w:rsidR="00AB383D" w:rsidRPr="00B65E69">
              <w:rPr>
                <w:bCs/>
              </w:rPr>
              <w:t>від</w:t>
            </w:r>
            <w:proofErr w:type="spellEnd"/>
            <w:r w:rsidR="00AB383D" w:rsidRPr="00B65E69">
              <w:rPr>
                <w:bCs/>
              </w:rPr>
              <w:t xml:space="preserve"> 25 </w:t>
            </w:r>
            <w:proofErr w:type="spellStart"/>
            <w:r w:rsidR="00AB383D" w:rsidRPr="00B65E69">
              <w:rPr>
                <w:bCs/>
              </w:rPr>
              <w:t>березня</w:t>
            </w:r>
            <w:proofErr w:type="spellEnd"/>
            <w:r w:rsidR="00AB383D" w:rsidRPr="00B65E69">
              <w:rPr>
                <w:bCs/>
              </w:rPr>
              <w:t xml:space="preserve"> 2016 р. № 246</w:t>
            </w:r>
            <w:r w:rsidR="00AB383D" w:rsidRPr="00B65E69">
              <w:rPr>
                <w:bCs/>
                <w:lang w:val="uk-UA"/>
              </w:rPr>
              <w:t>.</w:t>
            </w:r>
          </w:p>
        </w:tc>
      </w:tr>
      <w:tr w:rsidR="000301AE" w:rsidRPr="0007516C" w14:paraId="44D42847" w14:textId="77777777" w:rsidTr="004218DC">
        <w:trPr>
          <w:trHeight w:val="4214"/>
        </w:trPr>
        <w:tc>
          <w:tcPr>
            <w:tcW w:w="2972" w:type="dxa"/>
            <w:gridSpan w:val="2"/>
          </w:tcPr>
          <w:p w14:paraId="7A277C39" w14:textId="4DF47C3E" w:rsidR="00371EDD" w:rsidRPr="002366FB" w:rsidRDefault="00371EDD" w:rsidP="00371EDD">
            <w:pPr>
              <w:spacing w:before="150" w:after="150"/>
              <w:rPr>
                <w:lang w:val="uk-UA"/>
              </w:rPr>
            </w:pPr>
            <w:r w:rsidRPr="002366FB">
              <w:rPr>
                <w:lang w:val="uk-UA"/>
              </w:rPr>
              <w:t>Д</w:t>
            </w:r>
            <w:proofErr w:type="spellStart"/>
            <w:r w:rsidRPr="002366FB">
              <w:t>ата</w:t>
            </w:r>
            <w:proofErr w:type="spellEnd"/>
            <w:r w:rsidRPr="002366FB">
              <w:rPr>
                <w:lang w:val="uk-UA"/>
              </w:rPr>
              <w:t xml:space="preserve"> і час</w:t>
            </w:r>
            <w:r w:rsidRPr="002366FB">
              <w:t xml:space="preserve"> початку проведення </w:t>
            </w:r>
            <w:r w:rsidRPr="002366FB">
              <w:rPr>
                <w:lang w:val="uk-UA"/>
              </w:rPr>
              <w:t>тестування</w:t>
            </w:r>
            <w:r w:rsidRPr="002366FB">
              <w:t xml:space="preserve"> </w:t>
            </w:r>
            <w:proofErr w:type="spellStart"/>
            <w:r w:rsidRPr="002366FB">
              <w:t>кандидатів</w:t>
            </w:r>
            <w:proofErr w:type="spellEnd"/>
            <w:r w:rsidRPr="002366FB">
              <w:rPr>
                <w:lang w:val="uk-UA"/>
              </w:rPr>
              <w:t xml:space="preserve">. </w:t>
            </w:r>
          </w:p>
          <w:p w14:paraId="374F432C" w14:textId="508F27F1" w:rsidR="00371EDD" w:rsidRPr="002366FB" w:rsidRDefault="00371EDD" w:rsidP="00371EDD">
            <w:pPr>
              <w:spacing w:before="150" w:after="150"/>
              <w:rPr>
                <w:lang w:val="uk-UA"/>
              </w:rPr>
            </w:pPr>
            <w:r w:rsidRPr="002366FB">
              <w:rPr>
                <w:lang w:val="uk-UA"/>
              </w:rPr>
              <w:t>Місце проведення тестування</w:t>
            </w:r>
          </w:p>
          <w:p w14:paraId="0B70C57C" w14:textId="77777777" w:rsidR="00371EDD" w:rsidRPr="002366FB" w:rsidRDefault="00371EDD" w:rsidP="00371EDD">
            <w:pPr>
              <w:spacing w:before="150" w:after="150"/>
              <w:rPr>
                <w:lang w:val="uk-UA"/>
              </w:rPr>
            </w:pPr>
            <w:r w:rsidRPr="002366FB">
              <w:rPr>
                <w:lang w:val="uk-UA"/>
              </w:rPr>
              <w:t xml:space="preserve">Місце проведення співбесіди </w:t>
            </w:r>
          </w:p>
          <w:p w14:paraId="03678C3A" w14:textId="71DC1E3E" w:rsidR="000301AE" w:rsidRPr="002366FB" w:rsidRDefault="00371EDD" w:rsidP="00371EDD">
            <w:pPr>
              <w:spacing w:before="150" w:after="150"/>
              <w:rPr>
                <w:lang w:val="uk-UA"/>
              </w:rPr>
            </w:pPr>
            <w:r w:rsidRPr="002366FB">
              <w:rPr>
                <w:lang w:val="uk-UA"/>
              </w:rPr>
              <w:t xml:space="preserve">Місце або спосіб проведення співбесіди з метою визначення суб’єктом призначення  переможця (переможців) конкурсу </w:t>
            </w:r>
          </w:p>
        </w:tc>
        <w:tc>
          <w:tcPr>
            <w:tcW w:w="6503" w:type="dxa"/>
          </w:tcPr>
          <w:p w14:paraId="2D589B22" w14:textId="0BCB35AF" w:rsidR="00371EDD" w:rsidRPr="00B65E69" w:rsidRDefault="007801B1" w:rsidP="000301AE">
            <w:pPr>
              <w:ind w:right="125"/>
              <w:rPr>
                <w:lang w:val="uk-UA"/>
              </w:rPr>
            </w:pPr>
            <w:r>
              <w:rPr>
                <w:lang w:val="uk-UA"/>
              </w:rPr>
              <w:t>09 липня</w:t>
            </w:r>
            <w:bookmarkStart w:id="5" w:name="_GoBack"/>
            <w:bookmarkEnd w:id="5"/>
            <w:r w:rsidR="00371EDD" w:rsidRPr="00B65E69">
              <w:rPr>
                <w:lang w:val="uk-UA"/>
              </w:rPr>
              <w:t xml:space="preserve"> 2021 р</w:t>
            </w:r>
            <w:r w:rsidR="004751BB" w:rsidRPr="00B65E69">
              <w:rPr>
                <w:lang w:val="uk-UA"/>
              </w:rPr>
              <w:t>оку</w:t>
            </w:r>
            <w:r w:rsidR="00371EDD" w:rsidRPr="00B65E69">
              <w:rPr>
                <w:lang w:val="uk-UA"/>
              </w:rPr>
              <w:t>, 9 година</w:t>
            </w:r>
          </w:p>
          <w:p w14:paraId="43D38E7E" w14:textId="77777777" w:rsidR="00371EDD" w:rsidRPr="00B65E69" w:rsidRDefault="00371EDD" w:rsidP="000301AE">
            <w:pPr>
              <w:ind w:right="125"/>
              <w:rPr>
                <w:lang w:val="uk-UA"/>
              </w:rPr>
            </w:pPr>
          </w:p>
          <w:p w14:paraId="0C585CFD" w14:textId="77777777" w:rsidR="00371EDD" w:rsidRPr="00B65E69" w:rsidRDefault="00371EDD" w:rsidP="000301AE">
            <w:pPr>
              <w:ind w:right="125"/>
              <w:rPr>
                <w:lang w:val="uk-UA"/>
              </w:rPr>
            </w:pPr>
          </w:p>
          <w:p w14:paraId="12F6172C" w14:textId="77777777" w:rsidR="00371EDD" w:rsidRPr="00B65E69" w:rsidRDefault="00371EDD" w:rsidP="000301AE">
            <w:pPr>
              <w:ind w:right="125"/>
              <w:rPr>
                <w:lang w:val="uk-UA"/>
              </w:rPr>
            </w:pPr>
          </w:p>
          <w:p w14:paraId="0A5BC432" w14:textId="470426ED" w:rsidR="00371EDD" w:rsidRPr="00B65E69" w:rsidRDefault="00371EDD" w:rsidP="000301AE">
            <w:pPr>
              <w:ind w:right="125"/>
              <w:rPr>
                <w:lang w:val="uk-UA"/>
              </w:rPr>
            </w:pPr>
            <w:r w:rsidRPr="00B65E69">
              <w:rPr>
                <w:lang w:val="uk-UA"/>
              </w:rPr>
              <w:t>м. Київ, вул. Прорізна, 15</w:t>
            </w:r>
          </w:p>
          <w:p w14:paraId="10C6BC21" w14:textId="77777777" w:rsidR="00371EDD" w:rsidRPr="00B65E69" w:rsidRDefault="00371EDD" w:rsidP="000301AE">
            <w:pPr>
              <w:ind w:right="125"/>
              <w:rPr>
                <w:lang w:val="uk-UA"/>
              </w:rPr>
            </w:pPr>
          </w:p>
          <w:p w14:paraId="3984A0C3" w14:textId="77777777" w:rsidR="00371EDD" w:rsidRPr="00B65E69" w:rsidRDefault="00371EDD" w:rsidP="000301AE">
            <w:pPr>
              <w:ind w:right="125"/>
              <w:rPr>
                <w:lang w:val="uk-UA"/>
              </w:rPr>
            </w:pPr>
          </w:p>
          <w:p w14:paraId="28C3EC04" w14:textId="77777777" w:rsidR="00371EDD" w:rsidRPr="00B65E69" w:rsidRDefault="00371EDD" w:rsidP="00371EDD">
            <w:pPr>
              <w:ind w:right="125"/>
              <w:rPr>
                <w:lang w:val="uk-UA"/>
              </w:rPr>
            </w:pPr>
            <w:r w:rsidRPr="00B65E69">
              <w:rPr>
                <w:lang w:val="uk-UA"/>
              </w:rPr>
              <w:t>м. Київ, вул. Прорізна, 15</w:t>
            </w:r>
          </w:p>
          <w:p w14:paraId="2BE148EF" w14:textId="77777777" w:rsidR="00371EDD" w:rsidRPr="00B65E69" w:rsidRDefault="00371EDD" w:rsidP="000301AE">
            <w:pPr>
              <w:ind w:right="125"/>
              <w:rPr>
                <w:lang w:val="uk-UA"/>
              </w:rPr>
            </w:pPr>
          </w:p>
          <w:p w14:paraId="335E9254" w14:textId="48D89A71" w:rsidR="00371EDD" w:rsidRPr="00B65E69" w:rsidRDefault="00371EDD" w:rsidP="000301AE">
            <w:pPr>
              <w:ind w:right="125"/>
              <w:rPr>
                <w:lang w:val="uk-UA"/>
              </w:rPr>
            </w:pPr>
            <w:r w:rsidRPr="00B65E69">
              <w:rPr>
                <w:lang w:val="uk-UA"/>
              </w:rPr>
              <w:t>м. Київ, вул. Інститутська, 21/8</w:t>
            </w:r>
          </w:p>
          <w:p w14:paraId="7BF9BA8B" w14:textId="77777777" w:rsidR="00371EDD" w:rsidRPr="00B65E69" w:rsidRDefault="00371EDD" w:rsidP="000301AE">
            <w:pPr>
              <w:ind w:right="125"/>
              <w:rPr>
                <w:lang w:val="uk-UA"/>
              </w:rPr>
            </w:pPr>
          </w:p>
          <w:p w14:paraId="784BA764" w14:textId="77777777" w:rsidR="00371EDD" w:rsidRPr="00B65E69" w:rsidRDefault="00371EDD" w:rsidP="000301AE">
            <w:pPr>
              <w:ind w:right="125"/>
              <w:rPr>
                <w:lang w:val="uk-UA"/>
              </w:rPr>
            </w:pPr>
          </w:p>
          <w:p w14:paraId="00C410FC" w14:textId="77777777" w:rsidR="00371EDD" w:rsidRPr="00B65E69" w:rsidRDefault="00371EDD" w:rsidP="000301AE">
            <w:pPr>
              <w:ind w:right="125"/>
              <w:rPr>
                <w:lang w:val="uk-UA"/>
              </w:rPr>
            </w:pPr>
          </w:p>
          <w:p w14:paraId="303A3A1D" w14:textId="77777777" w:rsidR="000301AE" w:rsidRPr="00B65E69" w:rsidRDefault="000301AE" w:rsidP="004218DC">
            <w:pPr>
              <w:ind w:right="125"/>
              <w:rPr>
                <w:lang w:val="uk-UA"/>
              </w:rPr>
            </w:pPr>
          </w:p>
        </w:tc>
      </w:tr>
      <w:tr w:rsidR="00371EDD" w:rsidRPr="0007516C" w14:paraId="12C0B5CE" w14:textId="77777777" w:rsidTr="004218DC">
        <w:trPr>
          <w:trHeight w:val="1112"/>
        </w:trPr>
        <w:tc>
          <w:tcPr>
            <w:tcW w:w="2972" w:type="dxa"/>
            <w:gridSpan w:val="2"/>
          </w:tcPr>
          <w:p w14:paraId="27B2DA6A" w14:textId="260BF352" w:rsidR="00371EDD" w:rsidRPr="002366FB" w:rsidRDefault="004218DC" w:rsidP="00371EDD">
            <w:pPr>
              <w:spacing w:before="150" w:after="150"/>
              <w:rPr>
                <w:lang w:val="uk-UA"/>
              </w:rPr>
            </w:pPr>
            <w:proofErr w:type="spellStart"/>
            <w:r w:rsidRPr="002366FB">
              <w:t>Прізвище</w:t>
            </w:r>
            <w:proofErr w:type="spellEnd"/>
            <w:r w:rsidRPr="002366FB">
              <w:t xml:space="preserve">, </w:t>
            </w:r>
            <w:proofErr w:type="spellStart"/>
            <w:r w:rsidRPr="002366FB">
              <w:t>ім’я</w:t>
            </w:r>
            <w:proofErr w:type="spellEnd"/>
            <w:r w:rsidRPr="002366FB">
              <w:t xml:space="preserve"> та по </w:t>
            </w:r>
            <w:proofErr w:type="spellStart"/>
            <w:r w:rsidRPr="002366FB">
              <w:t>батькові</w:t>
            </w:r>
            <w:proofErr w:type="spellEnd"/>
            <w:r w:rsidRPr="002366FB">
              <w:t xml:space="preserve">, номер телефону та адреса </w:t>
            </w:r>
            <w:proofErr w:type="spellStart"/>
            <w:r w:rsidRPr="002366FB">
              <w:t>електронної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пошти</w:t>
            </w:r>
            <w:proofErr w:type="spellEnd"/>
            <w:r w:rsidRPr="002366FB">
              <w:t xml:space="preserve"> особи, яка </w:t>
            </w:r>
            <w:proofErr w:type="spellStart"/>
            <w:r w:rsidRPr="002366FB">
              <w:t>надає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додаткову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інформацію</w:t>
            </w:r>
            <w:proofErr w:type="spellEnd"/>
            <w:r w:rsidRPr="002366FB">
              <w:t xml:space="preserve"> з </w:t>
            </w:r>
            <w:proofErr w:type="spellStart"/>
            <w:r w:rsidRPr="002366FB">
              <w:t>питань</w:t>
            </w:r>
            <w:proofErr w:type="spellEnd"/>
            <w:r w:rsidRPr="002366FB">
              <w:t xml:space="preserve"> проведення конкурсу</w:t>
            </w:r>
          </w:p>
        </w:tc>
        <w:tc>
          <w:tcPr>
            <w:tcW w:w="6503" w:type="dxa"/>
          </w:tcPr>
          <w:p w14:paraId="57BDC731" w14:textId="573DEC2C" w:rsidR="004218DC" w:rsidRPr="00B65E69" w:rsidRDefault="004218DC" w:rsidP="004218DC">
            <w:pPr>
              <w:ind w:right="125"/>
              <w:rPr>
                <w:lang w:val="uk-UA"/>
              </w:rPr>
            </w:pPr>
            <w:r w:rsidRPr="00B65E69">
              <w:rPr>
                <w:lang w:val="uk-UA"/>
              </w:rPr>
              <w:t xml:space="preserve">Сажин Катерина Володимирівна, (044) 256-00-94 </w:t>
            </w:r>
            <w:hyperlink r:id="rId8" w:history="1">
              <w:r w:rsidRPr="00B65E69">
                <w:rPr>
                  <w:rStyle w:val="a3"/>
                  <w:color w:val="auto"/>
                  <w:lang w:val="en-US"/>
                </w:rPr>
                <w:t>sazhyn</w:t>
              </w:r>
              <w:r w:rsidRPr="00B65E69">
                <w:rPr>
                  <w:rStyle w:val="a3"/>
                  <w:color w:val="auto"/>
                  <w:lang w:val="uk-UA"/>
                </w:rPr>
                <w:t>@n</w:t>
              </w:r>
              <w:r w:rsidRPr="00B65E69">
                <w:rPr>
                  <w:rStyle w:val="a3"/>
                  <w:color w:val="auto"/>
                  <w:lang w:val="en-US"/>
                </w:rPr>
                <w:t>ads</w:t>
              </w:r>
              <w:r w:rsidRPr="00B65E69">
                <w:rPr>
                  <w:rStyle w:val="a3"/>
                  <w:color w:val="auto"/>
                  <w:lang w:val="uk-UA"/>
                </w:rPr>
                <w:t>.gov.ua</w:t>
              </w:r>
            </w:hyperlink>
          </w:p>
          <w:p w14:paraId="1371E090" w14:textId="77777777" w:rsidR="00371EDD" w:rsidRPr="00B65E69" w:rsidRDefault="00371EDD" w:rsidP="000301AE">
            <w:pPr>
              <w:ind w:right="125"/>
              <w:rPr>
                <w:lang w:val="uk-UA"/>
              </w:rPr>
            </w:pPr>
          </w:p>
        </w:tc>
      </w:tr>
      <w:tr w:rsidR="000301AE" w:rsidRPr="0007516C" w14:paraId="7173FF3F" w14:textId="77777777" w:rsidTr="00D37F94">
        <w:trPr>
          <w:trHeight w:val="408"/>
        </w:trPr>
        <w:tc>
          <w:tcPr>
            <w:tcW w:w="9475" w:type="dxa"/>
            <w:gridSpan w:val="3"/>
          </w:tcPr>
          <w:p w14:paraId="1A19F90C" w14:textId="77777777" w:rsidR="000301AE" w:rsidRPr="00B65E69" w:rsidRDefault="000301AE" w:rsidP="000301AE">
            <w:pPr>
              <w:jc w:val="center"/>
              <w:rPr>
                <w:b/>
                <w:lang w:val="uk-UA"/>
              </w:rPr>
            </w:pPr>
            <w:r w:rsidRPr="00B65E69">
              <w:rPr>
                <w:b/>
                <w:lang w:val="uk-UA"/>
              </w:rPr>
              <w:t>Кваліфікаційні вимоги</w:t>
            </w:r>
          </w:p>
        </w:tc>
      </w:tr>
      <w:tr w:rsidR="000301AE" w:rsidRPr="00DA37C9" w14:paraId="04DCA598" w14:textId="77777777" w:rsidTr="007E0F63">
        <w:tc>
          <w:tcPr>
            <w:tcW w:w="571" w:type="dxa"/>
          </w:tcPr>
          <w:p w14:paraId="0A141571" w14:textId="77777777" w:rsidR="000301AE" w:rsidRPr="002366FB" w:rsidRDefault="000301AE" w:rsidP="000301AE">
            <w:pPr>
              <w:numPr>
                <w:ilvl w:val="0"/>
                <w:numId w:val="1"/>
              </w:numPr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3F8745C6" w14:textId="77777777" w:rsidR="000301AE" w:rsidRPr="002366FB" w:rsidRDefault="000301AE" w:rsidP="000301AE">
            <w:pPr>
              <w:rPr>
                <w:lang w:val="uk-UA"/>
              </w:rPr>
            </w:pPr>
            <w:r w:rsidRPr="002366FB">
              <w:rPr>
                <w:lang w:val="uk-UA"/>
              </w:rPr>
              <w:t>Освіта</w:t>
            </w:r>
          </w:p>
        </w:tc>
        <w:tc>
          <w:tcPr>
            <w:tcW w:w="6503" w:type="dxa"/>
            <w:vAlign w:val="center"/>
          </w:tcPr>
          <w:p w14:paraId="2949F387" w14:textId="77777777" w:rsidR="00021F34" w:rsidRDefault="000301AE" w:rsidP="00021F34">
            <w:pPr>
              <w:tabs>
                <w:tab w:val="left" w:pos="6200"/>
              </w:tabs>
              <w:ind w:left="-19" w:right="-18"/>
              <w:jc w:val="both"/>
              <w:rPr>
                <w:lang w:val="uk-UA"/>
              </w:rPr>
            </w:pPr>
            <w:proofErr w:type="spellStart"/>
            <w:r w:rsidRPr="00B65E69">
              <w:t>ступінь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вищої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освіти</w:t>
            </w:r>
            <w:proofErr w:type="spellEnd"/>
            <w:r w:rsidRPr="00B65E69">
              <w:t xml:space="preserve"> – не </w:t>
            </w:r>
            <w:proofErr w:type="spellStart"/>
            <w:r w:rsidRPr="00B65E69">
              <w:t>нижче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магістра</w:t>
            </w:r>
            <w:proofErr w:type="spellEnd"/>
            <w:r w:rsidRPr="00B65E69">
              <w:rPr>
                <w:lang w:val="uk-UA"/>
              </w:rPr>
              <w:t xml:space="preserve"> </w:t>
            </w:r>
          </w:p>
          <w:p w14:paraId="438C9FD6" w14:textId="69EFA2EB" w:rsidR="00021F34" w:rsidRPr="00021F34" w:rsidRDefault="00021F34" w:rsidP="00021F34">
            <w:pPr>
              <w:tabs>
                <w:tab w:val="left" w:pos="6200"/>
              </w:tabs>
              <w:ind w:left="-19" w:right="-18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0301AE" w:rsidRPr="0007516C" w14:paraId="5C77D510" w14:textId="77777777" w:rsidTr="008E7A3B">
        <w:trPr>
          <w:trHeight w:val="1477"/>
        </w:trPr>
        <w:tc>
          <w:tcPr>
            <w:tcW w:w="571" w:type="dxa"/>
          </w:tcPr>
          <w:p w14:paraId="1FC96B52" w14:textId="77777777" w:rsidR="000301AE" w:rsidRPr="002366FB" w:rsidRDefault="000301AE" w:rsidP="000301AE">
            <w:pPr>
              <w:numPr>
                <w:ilvl w:val="0"/>
                <w:numId w:val="1"/>
              </w:numPr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0D26FDFC" w14:textId="77777777" w:rsidR="000301AE" w:rsidRPr="002366FB" w:rsidRDefault="000301AE" w:rsidP="000301AE">
            <w:pPr>
              <w:rPr>
                <w:lang w:val="uk-UA"/>
              </w:rPr>
            </w:pPr>
            <w:r w:rsidRPr="002366FB">
              <w:rPr>
                <w:lang w:val="uk-UA"/>
              </w:rPr>
              <w:t>Досвід роботи</w:t>
            </w:r>
          </w:p>
        </w:tc>
        <w:tc>
          <w:tcPr>
            <w:tcW w:w="6503" w:type="dxa"/>
          </w:tcPr>
          <w:p w14:paraId="26B237CE" w14:textId="77777777" w:rsidR="000301AE" w:rsidRPr="00B65E69" w:rsidRDefault="000301AE" w:rsidP="000301AE">
            <w:pPr>
              <w:ind w:left="28"/>
              <w:rPr>
                <w:shd w:val="clear" w:color="auto" w:fill="FFFFFF"/>
              </w:rPr>
            </w:pPr>
            <w:proofErr w:type="spellStart"/>
            <w:r w:rsidRPr="00B65E69">
              <w:rPr>
                <w:shd w:val="clear" w:color="auto" w:fill="FFFFFF"/>
              </w:rPr>
              <w:t>загальний</w:t>
            </w:r>
            <w:proofErr w:type="spellEnd"/>
            <w:r w:rsidRPr="00B65E69">
              <w:rPr>
                <w:shd w:val="clear" w:color="auto" w:fill="FFFFFF"/>
              </w:rPr>
              <w:t xml:space="preserve"> стаж роботи – не </w:t>
            </w:r>
            <w:proofErr w:type="spellStart"/>
            <w:r w:rsidRPr="00B65E69">
              <w:rPr>
                <w:shd w:val="clear" w:color="auto" w:fill="FFFFFF"/>
              </w:rPr>
              <w:t>менше</w:t>
            </w:r>
            <w:proofErr w:type="spellEnd"/>
            <w:r w:rsidRPr="00B65E69">
              <w:rPr>
                <w:shd w:val="clear" w:color="auto" w:fill="FFFFFF"/>
              </w:rPr>
              <w:t xml:space="preserve"> семи </w:t>
            </w:r>
            <w:proofErr w:type="spellStart"/>
            <w:r w:rsidRPr="00B65E69">
              <w:rPr>
                <w:shd w:val="clear" w:color="auto" w:fill="FFFFFF"/>
              </w:rPr>
              <w:t>років</w:t>
            </w:r>
            <w:proofErr w:type="spellEnd"/>
            <w:r w:rsidRPr="00B65E69">
              <w:rPr>
                <w:shd w:val="clear" w:color="auto" w:fill="FFFFFF"/>
              </w:rPr>
              <w:t xml:space="preserve">; </w:t>
            </w:r>
          </w:p>
          <w:p w14:paraId="2BEA742E" w14:textId="4E699BA5" w:rsidR="000301AE" w:rsidRPr="00B65E69" w:rsidRDefault="000301AE" w:rsidP="000301AE">
            <w:pPr>
              <w:tabs>
                <w:tab w:val="left" w:pos="6200"/>
              </w:tabs>
              <w:ind w:left="-19" w:right="-18"/>
              <w:jc w:val="both"/>
              <w:rPr>
                <w:lang w:val="uk-UA"/>
              </w:rPr>
            </w:pPr>
            <w:proofErr w:type="spellStart"/>
            <w:r w:rsidRPr="00B65E69">
              <w:rPr>
                <w:shd w:val="clear" w:color="auto" w:fill="FFFFFF"/>
              </w:rPr>
              <w:t>досвід</w:t>
            </w:r>
            <w:proofErr w:type="spellEnd"/>
            <w:r w:rsidRPr="00B65E69">
              <w:rPr>
                <w:shd w:val="clear" w:color="auto" w:fill="FFFFFF"/>
              </w:rPr>
              <w:t xml:space="preserve"> роботи на посадах </w:t>
            </w:r>
            <w:proofErr w:type="spellStart"/>
            <w:r w:rsidRPr="00B65E69">
              <w:rPr>
                <w:shd w:val="clear" w:color="auto" w:fill="FFFFFF"/>
              </w:rPr>
              <w:t>державної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служби</w:t>
            </w:r>
            <w:proofErr w:type="spellEnd"/>
            <w:r w:rsidRPr="00B65E69">
              <w:rPr>
                <w:shd w:val="clear" w:color="auto" w:fill="FFFFFF"/>
              </w:rPr>
              <w:t> </w:t>
            </w:r>
            <w:proofErr w:type="spellStart"/>
            <w:r w:rsidR="00192AC4">
              <w:fldChar w:fldCharType="begin"/>
            </w:r>
            <w:r w:rsidR="00192AC4">
              <w:instrText xml:space="preserve"> HYPERLINK "https://zakon.rada.gov.ua/laws/show/889-19?find=1&amp;text=%D1%81%D0%BE%D1%86%D1%96%D0%B0%D0%BB%D1%8C%D0%BD%D0%BE" \l "n80" </w:instrText>
            </w:r>
            <w:r w:rsidR="00192AC4">
              <w:fldChar w:fldCharType="separate"/>
            </w:r>
            <w:r w:rsidRPr="00B65E69">
              <w:t>категорій</w:t>
            </w:r>
            <w:proofErr w:type="spellEnd"/>
            <w:r w:rsidRPr="00B65E69">
              <w:t xml:space="preserve"> </w:t>
            </w:r>
            <w:r w:rsidR="00BB2994">
              <w:rPr>
                <w:lang w:val="uk-UA"/>
              </w:rPr>
              <w:t>«</w:t>
            </w:r>
            <w:r w:rsidRPr="00B65E69">
              <w:t>А</w:t>
            </w:r>
            <w:r w:rsidR="00BB2994">
              <w:rPr>
                <w:lang w:val="uk-UA"/>
              </w:rPr>
              <w:t>»</w:t>
            </w:r>
            <w:r w:rsidRPr="00B65E69">
              <w:rPr>
                <w:shd w:val="clear" w:color="auto" w:fill="FFFFFF"/>
              </w:rPr>
              <w:t>”</w:t>
            </w:r>
            <w:r w:rsidR="00192AC4">
              <w:rPr>
                <w:shd w:val="clear" w:color="auto" w:fill="FFFFFF"/>
              </w:rPr>
              <w:fldChar w:fldCharType="end"/>
            </w:r>
            <w:r w:rsidRPr="00B65E69">
              <w:rPr>
                <w:shd w:val="clear" w:color="auto" w:fill="FFFFFF"/>
              </w:rPr>
              <w:t> </w:t>
            </w:r>
            <w:proofErr w:type="spellStart"/>
            <w:r w:rsidRPr="00B65E69">
              <w:rPr>
                <w:shd w:val="clear" w:color="auto" w:fill="FFFFFF"/>
              </w:rPr>
              <w:t>чи</w:t>
            </w:r>
            <w:proofErr w:type="spellEnd"/>
            <w:r w:rsidRPr="00B65E69">
              <w:rPr>
                <w:shd w:val="clear" w:color="auto" w:fill="FFFFFF"/>
              </w:rPr>
              <w:t> </w:t>
            </w:r>
            <w:hyperlink r:id="rId9" w:anchor="n86" w:history="1">
              <w:r w:rsidR="00BB2994">
                <w:rPr>
                  <w:lang w:val="uk-UA"/>
                </w:rPr>
                <w:t>«</w:t>
              </w:r>
              <w:r w:rsidRPr="00B65E69">
                <w:t>Б</w:t>
              </w:r>
            </w:hyperlink>
            <w:r w:rsidR="00BB2994">
              <w:rPr>
                <w:shd w:val="clear" w:color="auto" w:fill="FFFFFF"/>
                <w:lang w:val="uk-UA"/>
              </w:rPr>
              <w:t>»</w:t>
            </w:r>
            <w:r w:rsidRPr="00B65E69">
              <w:rPr>
                <w:shd w:val="clear" w:color="auto" w:fill="FFFFFF"/>
              </w:rPr>
              <w:t> </w:t>
            </w:r>
            <w:proofErr w:type="spellStart"/>
            <w:r w:rsidRPr="00B65E69">
              <w:rPr>
                <w:shd w:val="clear" w:color="auto" w:fill="FFFFFF"/>
              </w:rPr>
              <w:t>або</w:t>
            </w:r>
            <w:proofErr w:type="spellEnd"/>
            <w:r w:rsidRPr="00B65E69">
              <w:rPr>
                <w:shd w:val="clear" w:color="auto" w:fill="FFFFFF"/>
              </w:rPr>
              <w:t xml:space="preserve"> на посадах не </w:t>
            </w:r>
            <w:proofErr w:type="spellStart"/>
            <w:r w:rsidRPr="00B65E69">
              <w:rPr>
                <w:shd w:val="clear" w:color="auto" w:fill="FFFFFF"/>
              </w:rPr>
              <w:t>нижче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керівників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структурних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підрозділів</w:t>
            </w:r>
            <w:proofErr w:type="spellEnd"/>
            <w:r w:rsidRPr="00B65E69">
              <w:rPr>
                <w:shd w:val="clear" w:color="auto" w:fill="FFFFFF"/>
              </w:rPr>
              <w:t xml:space="preserve"> в органах </w:t>
            </w:r>
            <w:proofErr w:type="spellStart"/>
            <w:r w:rsidRPr="00B65E69">
              <w:rPr>
                <w:shd w:val="clear" w:color="auto" w:fill="FFFFFF"/>
              </w:rPr>
              <w:t>місцевого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самоврядування</w:t>
            </w:r>
            <w:proofErr w:type="spellEnd"/>
            <w:r w:rsidRPr="00B65E69">
              <w:rPr>
                <w:shd w:val="clear" w:color="auto" w:fill="FFFFFF"/>
              </w:rPr>
              <w:t xml:space="preserve">, </w:t>
            </w:r>
            <w:proofErr w:type="spellStart"/>
            <w:r w:rsidRPr="00B65E69">
              <w:rPr>
                <w:shd w:val="clear" w:color="auto" w:fill="FFFFFF"/>
              </w:rPr>
              <w:t>або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досвід</w:t>
            </w:r>
            <w:proofErr w:type="spellEnd"/>
            <w:r w:rsidRPr="00B65E69">
              <w:rPr>
                <w:shd w:val="clear" w:color="auto" w:fill="FFFFFF"/>
              </w:rPr>
              <w:t xml:space="preserve"> роботи на </w:t>
            </w:r>
            <w:proofErr w:type="spellStart"/>
            <w:r w:rsidRPr="00B65E69">
              <w:rPr>
                <w:shd w:val="clear" w:color="auto" w:fill="FFFFFF"/>
              </w:rPr>
              <w:t>керівних</w:t>
            </w:r>
            <w:proofErr w:type="spellEnd"/>
            <w:r w:rsidRPr="00B65E69">
              <w:rPr>
                <w:shd w:val="clear" w:color="auto" w:fill="FFFFFF"/>
              </w:rPr>
              <w:t xml:space="preserve"> посадах не </w:t>
            </w:r>
            <w:proofErr w:type="spellStart"/>
            <w:r w:rsidRPr="00B65E69">
              <w:rPr>
                <w:shd w:val="clear" w:color="auto" w:fill="FFFFFF"/>
              </w:rPr>
              <w:t>менше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трьох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років</w:t>
            </w:r>
            <w:proofErr w:type="spellEnd"/>
          </w:p>
        </w:tc>
      </w:tr>
      <w:tr w:rsidR="000301AE" w:rsidRPr="0007516C" w14:paraId="01667044" w14:textId="77777777" w:rsidTr="007E0F63">
        <w:trPr>
          <w:trHeight w:val="515"/>
        </w:trPr>
        <w:tc>
          <w:tcPr>
            <w:tcW w:w="571" w:type="dxa"/>
          </w:tcPr>
          <w:p w14:paraId="7C35A42B" w14:textId="77777777" w:rsidR="000301AE" w:rsidRPr="002366FB" w:rsidRDefault="000301AE" w:rsidP="000301AE">
            <w:pPr>
              <w:numPr>
                <w:ilvl w:val="0"/>
                <w:numId w:val="1"/>
              </w:numPr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30E81243" w14:textId="77777777" w:rsidR="000301AE" w:rsidRPr="002366FB" w:rsidRDefault="000301AE" w:rsidP="000301AE">
            <w:pPr>
              <w:rPr>
                <w:lang w:val="uk-UA"/>
              </w:rPr>
            </w:pPr>
            <w:r w:rsidRPr="002366FB">
              <w:rPr>
                <w:lang w:val="uk-UA"/>
              </w:rPr>
              <w:t>Володіння державною мовою</w:t>
            </w:r>
          </w:p>
        </w:tc>
        <w:tc>
          <w:tcPr>
            <w:tcW w:w="6503" w:type="dxa"/>
          </w:tcPr>
          <w:p w14:paraId="52116BEE" w14:textId="77777777" w:rsidR="000301AE" w:rsidRPr="00B65E69" w:rsidRDefault="000301AE" w:rsidP="000301AE">
            <w:pPr>
              <w:tabs>
                <w:tab w:val="left" w:pos="6200"/>
              </w:tabs>
              <w:ind w:right="-18"/>
              <w:rPr>
                <w:lang w:val="uk-UA"/>
              </w:rPr>
            </w:pPr>
            <w:r w:rsidRPr="00B65E69">
              <w:rPr>
                <w:lang w:val="uk-UA"/>
              </w:rPr>
              <w:t>вільне володіння державною мовою</w:t>
            </w:r>
          </w:p>
        </w:tc>
      </w:tr>
      <w:tr w:rsidR="000301AE" w:rsidRPr="007801B1" w14:paraId="3B68B29C" w14:textId="77777777" w:rsidTr="008E7A3B">
        <w:trPr>
          <w:trHeight w:val="643"/>
        </w:trPr>
        <w:tc>
          <w:tcPr>
            <w:tcW w:w="571" w:type="dxa"/>
          </w:tcPr>
          <w:p w14:paraId="51ED9C45" w14:textId="77777777" w:rsidR="000301AE" w:rsidRPr="002366FB" w:rsidRDefault="000301AE" w:rsidP="000301AE">
            <w:pPr>
              <w:numPr>
                <w:ilvl w:val="0"/>
                <w:numId w:val="1"/>
              </w:numPr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2390EC6B" w14:textId="77777777" w:rsidR="000301AE" w:rsidRPr="002366FB" w:rsidRDefault="000301AE" w:rsidP="000301AE">
            <w:pPr>
              <w:rPr>
                <w:lang w:val="uk-UA"/>
              </w:rPr>
            </w:pPr>
            <w:r w:rsidRPr="002366FB">
              <w:rPr>
                <w:lang w:val="uk-UA"/>
              </w:rPr>
              <w:t>Володіння іноземною мовою</w:t>
            </w:r>
          </w:p>
        </w:tc>
        <w:tc>
          <w:tcPr>
            <w:tcW w:w="6503" w:type="dxa"/>
          </w:tcPr>
          <w:p w14:paraId="09CA92A6" w14:textId="025FA1BF" w:rsidR="000301AE" w:rsidRPr="00B65E69" w:rsidRDefault="000301AE" w:rsidP="000301AE">
            <w:pPr>
              <w:tabs>
                <w:tab w:val="left" w:pos="6200"/>
              </w:tabs>
              <w:ind w:right="-18"/>
              <w:jc w:val="both"/>
              <w:rPr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володіння іноземною мовою, яка є однією з офіційних мов Ради Європи (англійська та/або французька)</w:t>
            </w:r>
          </w:p>
        </w:tc>
      </w:tr>
      <w:tr w:rsidR="00924278" w:rsidRPr="002B1947" w14:paraId="037E9FEB" w14:textId="77777777" w:rsidTr="00D37F94">
        <w:trPr>
          <w:trHeight w:val="442"/>
        </w:trPr>
        <w:tc>
          <w:tcPr>
            <w:tcW w:w="9475" w:type="dxa"/>
            <w:gridSpan w:val="3"/>
          </w:tcPr>
          <w:p w14:paraId="2BC36ECE" w14:textId="020AF98C" w:rsidR="00924278" w:rsidRPr="00B65E69" w:rsidRDefault="00924278" w:rsidP="00924278">
            <w:pPr>
              <w:tabs>
                <w:tab w:val="left" w:pos="6200"/>
              </w:tabs>
              <w:ind w:right="-18"/>
              <w:jc w:val="center"/>
              <w:rPr>
                <w:b/>
                <w:shd w:val="clear" w:color="auto" w:fill="FFFFFF"/>
                <w:lang w:val="uk-UA"/>
              </w:rPr>
            </w:pPr>
            <w:r w:rsidRPr="00B65E69">
              <w:rPr>
                <w:b/>
                <w:shd w:val="clear" w:color="auto" w:fill="FFFFFF"/>
                <w:lang w:val="uk-UA"/>
              </w:rPr>
              <w:t>Вимоги до компетентності</w:t>
            </w:r>
          </w:p>
        </w:tc>
      </w:tr>
      <w:tr w:rsidR="000D520B" w:rsidRPr="002B1947" w14:paraId="26E2A457" w14:textId="77777777" w:rsidTr="00D37F94">
        <w:trPr>
          <w:trHeight w:val="378"/>
        </w:trPr>
        <w:tc>
          <w:tcPr>
            <w:tcW w:w="2972" w:type="dxa"/>
            <w:gridSpan w:val="2"/>
          </w:tcPr>
          <w:p w14:paraId="594503CA" w14:textId="67D8CE34" w:rsidR="000D520B" w:rsidRPr="002366FB" w:rsidRDefault="000D520B" w:rsidP="000D520B">
            <w:pPr>
              <w:jc w:val="center"/>
              <w:rPr>
                <w:lang w:val="uk-UA"/>
              </w:rPr>
            </w:pPr>
            <w:r w:rsidRPr="002366FB">
              <w:rPr>
                <w:lang w:val="uk-UA"/>
              </w:rPr>
              <w:t>Вимога</w:t>
            </w:r>
          </w:p>
        </w:tc>
        <w:tc>
          <w:tcPr>
            <w:tcW w:w="6503" w:type="dxa"/>
          </w:tcPr>
          <w:p w14:paraId="47AF3074" w14:textId="647BC6FB" w:rsidR="000D520B" w:rsidRPr="00B65E69" w:rsidRDefault="000D520B" w:rsidP="000D520B">
            <w:pPr>
              <w:pStyle w:val="rvps14"/>
              <w:tabs>
                <w:tab w:val="left" w:pos="272"/>
              </w:tabs>
              <w:spacing w:before="120" w:beforeAutospacing="0" w:after="0" w:afterAutospacing="0"/>
              <w:ind w:left="130" w:right="135"/>
              <w:jc w:val="center"/>
            </w:pPr>
            <w:r w:rsidRPr="00B65E69">
              <w:t>Компоненти вимоги</w:t>
            </w:r>
          </w:p>
        </w:tc>
      </w:tr>
      <w:tr w:rsidR="00924278" w:rsidRPr="002B1947" w14:paraId="753E8CD6" w14:textId="77777777" w:rsidTr="007E0F63">
        <w:trPr>
          <w:trHeight w:val="515"/>
        </w:trPr>
        <w:tc>
          <w:tcPr>
            <w:tcW w:w="571" w:type="dxa"/>
          </w:tcPr>
          <w:p w14:paraId="3D62C952" w14:textId="7362977B" w:rsidR="00924278" w:rsidRPr="002366FB" w:rsidRDefault="00924278" w:rsidP="00924278">
            <w:pPr>
              <w:ind w:left="113"/>
              <w:rPr>
                <w:lang w:val="uk-UA"/>
              </w:rPr>
            </w:pPr>
            <w:r w:rsidRPr="002366FB">
              <w:rPr>
                <w:lang w:val="uk-UA"/>
              </w:rPr>
              <w:t>1.</w:t>
            </w:r>
          </w:p>
        </w:tc>
        <w:tc>
          <w:tcPr>
            <w:tcW w:w="2401" w:type="dxa"/>
          </w:tcPr>
          <w:p w14:paraId="11D21A8B" w14:textId="500CEFB8" w:rsidR="00924278" w:rsidRPr="002366FB" w:rsidRDefault="00924278" w:rsidP="000301AE">
            <w:pPr>
              <w:rPr>
                <w:lang w:val="uk-UA"/>
              </w:rPr>
            </w:pPr>
            <w:proofErr w:type="spellStart"/>
            <w:r w:rsidRPr="002366FB">
              <w:t>Лідерство</w:t>
            </w:r>
            <w:proofErr w:type="spellEnd"/>
          </w:p>
        </w:tc>
        <w:tc>
          <w:tcPr>
            <w:tcW w:w="6503" w:type="dxa"/>
          </w:tcPr>
          <w:p w14:paraId="0260B16C" w14:textId="77777777" w:rsidR="00924278" w:rsidRPr="00B65E69" w:rsidRDefault="00924278" w:rsidP="0008640E">
            <w:pPr>
              <w:pStyle w:val="rvps1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вміння та досвід у визначенні стратегії, напрямів діяльності і розвитку організації та встановлення її чітких цілей і завдань;</w:t>
            </w:r>
          </w:p>
          <w:p w14:paraId="52832239" w14:textId="77777777" w:rsidR="00924278" w:rsidRPr="00B65E69" w:rsidRDefault="00924278" w:rsidP="0008640E">
            <w:pPr>
              <w:pStyle w:val="rvps1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вміння розвивати професійні компетентності співробітників;</w:t>
            </w:r>
          </w:p>
          <w:p w14:paraId="0BC4C213" w14:textId="77777777" w:rsidR="00924278" w:rsidRPr="00B65E69" w:rsidRDefault="00924278" w:rsidP="0008640E">
            <w:pPr>
              <w:pStyle w:val="rvps14"/>
              <w:tabs>
                <w:tab w:val="left" w:pos="0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здатність надихати команду та мотивувати людей на самовіддану роботу, досягнення індивідуального та командного результату;</w:t>
            </w:r>
          </w:p>
          <w:p w14:paraId="16560375" w14:textId="77777777" w:rsidR="00924278" w:rsidRPr="00B65E69" w:rsidRDefault="00924278" w:rsidP="0008640E">
            <w:pPr>
              <w:pStyle w:val="rvps1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вміння ефективно делегувати задачі та управляти результативністю команди;</w:t>
            </w:r>
          </w:p>
          <w:p w14:paraId="7FC92C64" w14:textId="77777777" w:rsidR="00924278" w:rsidRDefault="00924278" w:rsidP="0008640E">
            <w:pPr>
              <w:tabs>
                <w:tab w:val="left" w:pos="0"/>
                <w:tab w:val="left" w:pos="6200"/>
              </w:tabs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proofErr w:type="spellStart"/>
            <w:r w:rsidRPr="00B65E69">
              <w:t>створення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культури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відкритості</w:t>
            </w:r>
            <w:proofErr w:type="spellEnd"/>
            <w:r w:rsidRPr="00B65E69">
              <w:t xml:space="preserve"> та </w:t>
            </w:r>
            <w:proofErr w:type="spellStart"/>
            <w:r w:rsidRPr="00B65E69">
              <w:t>відповідальності</w:t>
            </w:r>
            <w:proofErr w:type="spellEnd"/>
          </w:p>
          <w:p w14:paraId="44511279" w14:textId="6A454DDE" w:rsidR="008E7A3B" w:rsidRPr="008E7A3B" w:rsidRDefault="008E7A3B" w:rsidP="0008640E">
            <w:pPr>
              <w:tabs>
                <w:tab w:val="left" w:pos="0"/>
                <w:tab w:val="left" w:pos="6200"/>
              </w:tabs>
              <w:jc w:val="both"/>
              <w:rPr>
                <w:sz w:val="10"/>
                <w:szCs w:val="10"/>
                <w:shd w:val="clear" w:color="auto" w:fill="FFFFFF"/>
                <w:lang w:val="uk-UA"/>
              </w:rPr>
            </w:pPr>
          </w:p>
        </w:tc>
      </w:tr>
      <w:tr w:rsidR="00924278" w:rsidRPr="002B1947" w14:paraId="2EC692CD" w14:textId="77777777" w:rsidTr="007E0F63">
        <w:trPr>
          <w:trHeight w:val="515"/>
        </w:trPr>
        <w:tc>
          <w:tcPr>
            <w:tcW w:w="571" w:type="dxa"/>
          </w:tcPr>
          <w:p w14:paraId="7BADE89F" w14:textId="2E247597" w:rsidR="00924278" w:rsidRPr="002366FB" w:rsidRDefault="00924278" w:rsidP="00924278">
            <w:pPr>
              <w:ind w:left="113"/>
              <w:rPr>
                <w:lang w:val="uk-UA"/>
              </w:rPr>
            </w:pPr>
            <w:r w:rsidRPr="002366FB">
              <w:rPr>
                <w:lang w:val="uk-UA"/>
              </w:rPr>
              <w:t>2.</w:t>
            </w:r>
          </w:p>
        </w:tc>
        <w:tc>
          <w:tcPr>
            <w:tcW w:w="2401" w:type="dxa"/>
          </w:tcPr>
          <w:p w14:paraId="59C217C4" w14:textId="3A1D639D" w:rsidR="00924278" w:rsidRPr="002366FB" w:rsidRDefault="00924278" w:rsidP="000301AE">
            <w:pPr>
              <w:rPr>
                <w:lang w:val="uk-UA"/>
              </w:rPr>
            </w:pPr>
            <w:proofErr w:type="spellStart"/>
            <w:r w:rsidRPr="002366FB">
              <w:t>Комунікація</w:t>
            </w:r>
            <w:proofErr w:type="spellEnd"/>
            <w:r w:rsidRPr="002366FB">
              <w:t xml:space="preserve"> та </w:t>
            </w:r>
            <w:r w:rsidRPr="002366FB">
              <w:br/>
            </w:r>
            <w:proofErr w:type="spellStart"/>
            <w:r w:rsidRPr="002366FB">
              <w:t>взаємодія</w:t>
            </w:r>
            <w:proofErr w:type="spellEnd"/>
          </w:p>
        </w:tc>
        <w:tc>
          <w:tcPr>
            <w:tcW w:w="6503" w:type="dxa"/>
          </w:tcPr>
          <w:p w14:paraId="268AB821" w14:textId="77777777" w:rsidR="00924278" w:rsidRPr="00B65E69" w:rsidRDefault="00924278" w:rsidP="0008640E">
            <w:pPr>
              <w:pStyle w:val="rvps1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вміння правильно визначати заінтересовані та впливові сторони, розбудовувати партнерські відносини;</w:t>
            </w:r>
          </w:p>
          <w:p w14:paraId="32C69C09" w14:textId="77777777" w:rsidR="00924278" w:rsidRPr="00B65E69" w:rsidRDefault="00924278" w:rsidP="0008640E">
            <w:pPr>
              <w:pStyle w:val="rvps1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 xml:space="preserve">здатність ефективно взаємодіяти </w:t>
            </w:r>
            <w:r w:rsidRPr="00B65E69">
              <w:rPr>
                <w:shd w:val="clear" w:color="auto" w:fill="FFFFFF"/>
              </w:rPr>
              <w:t>—</w:t>
            </w:r>
            <w:r w:rsidRPr="00B65E69">
              <w:t xml:space="preserve"> дослухатися, сприймати та викладати думку;</w:t>
            </w:r>
          </w:p>
          <w:p w14:paraId="085CDB24" w14:textId="77777777" w:rsidR="00924278" w:rsidRPr="00B65E69" w:rsidRDefault="00924278" w:rsidP="0008640E">
            <w:pPr>
              <w:pStyle w:val="rvps1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вміння публічно виступати, презентувати матеріал на аудиторію;</w:t>
            </w:r>
          </w:p>
          <w:p w14:paraId="69A4E896" w14:textId="77777777" w:rsidR="00924278" w:rsidRDefault="00924278" w:rsidP="0008640E">
            <w:pPr>
              <w:tabs>
                <w:tab w:val="left" w:pos="0"/>
                <w:tab w:val="left" w:pos="6200"/>
              </w:tabs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proofErr w:type="spellStart"/>
            <w:r w:rsidRPr="00B65E69">
              <w:t>здатність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впливати</w:t>
            </w:r>
            <w:proofErr w:type="spellEnd"/>
            <w:r w:rsidRPr="00B65E69">
              <w:t xml:space="preserve"> на думку інших, </w:t>
            </w:r>
            <w:proofErr w:type="spellStart"/>
            <w:r w:rsidRPr="00B65E69">
              <w:t>використовуючи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переконливі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аргументи</w:t>
            </w:r>
            <w:proofErr w:type="spellEnd"/>
            <w:r w:rsidRPr="00B65E69">
              <w:t xml:space="preserve"> та </w:t>
            </w:r>
            <w:proofErr w:type="spellStart"/>
            <w:r w:rsidRPr="00B65E69">
              <w:t>послідовну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комунікацію</w:t>
            </w:r>
            <w:proofErr w:type="spellEnd"/>
          </w:p>
          <w:p w14:paraId="0616ABB9" w14:textId="3FA9A17C" w:rsidR="008E7A3B" w:rsidRPr="00021F34" w:rsidRDefault="008E7A3B" w:rsidP="0008640E">
            <w:pPr>
              <w:tabs>
                <w:tab w:val="left" w:pos="0"/>
                <w:tab w:val="left" w:pos="6200"/>
              </w:tabs>
              <w:jc w:val="both"/>
              <w:rPr>
                <w:sz w:val="10"/>
                <w:szCs w:val="10"/>
                <w:shd w:val="clear" w:color="auto" w:fill="FFFFFF"/>
                <w:lang w:val="uk-UA"/>
              </w:rPr>
            </w:pPr>
          </w:p>
        </w:tc>
      </w:tr>
      <w:tr w:rsidR="00A25180" w:rsidRPr="002B1947" w14:paraId="5DAFAD9F" w14:textId="77777777" w:rsidTr="007E0F63">
        <w:trPr>
          <w:trHeight w:val="515"/>
        </w:trPr>
        <w:tc>
          <w:tcPr>
            <w:tcW w:w="571" w:type="dxa"/>
          </w:tcPr>
          <w:p w14:paraId="12FA9DF7" w14:textId="7CEFAAC7" w:rsidR="00A25180" w:rsidRPr="002366FB" w:rsidRDefault="00A25180" w:rsidP="00A25180">
            <w:pPr>
              <w:ind w:left="113"/>
              <w:rPr>
                <w:lang w:val="uk-UA"/>
              </w:rPr>
            </w:pPr>
            <w:r w:rsidRPr="002366FB">
              <w:rPr>
                <w:lang w:val="uk-UA"/>
              </w:rPr>
              <w:t>3.</w:t>
            </w:r>
          </w:p>
        </w:tc>
        <w:tc>
          <w:tcPr>
            <w:tcW w:w="2401" w:type="dxa"/>
          </w:tcPr>
          <w:p w14:paraId="338AB7E4" w14:textId="306BC9CC" w:rsidR="00A25180" w:rsidRPr="002366FB" w:rsidRDefault="00A25180" w:rsidP="00A25180">
            <w:pPr>
              <w:rPr>
                <w:lang w:val="uk-UA"/>
              </w:rPr>
            </w:pPr>
            <w:proofErr w:type="spellStart"/>
            <w:r w:rsidRPr="002366FB">
              <w:t>Розуміння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сфери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державної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політики</w:t>
            </w:r>
            <w:proofErr w:type="spellEnd"/>
          </w:p>
        </w:tc>
        <w:tc>
          <w:tcPr>
            <w:tcW w:w="6503" w:type="dxa"/>
          </w:tcPr>
          <w:p w14:paraId="23E90A9D" w14:textId="77777777" w:rsidR="00A25180" w:rsidRPr="00B65E69" w:rsidRDefault="00A25180" w:rsidP="0008640E">
            <w:pPr>
              <w:pStyle w:val="ab"/>
              <w:tabs>
                <w:tab w:val="left" w:pos="0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65E69">
              <w:rPr>
                <w:sz w:val="24"/>
                <w:szCs w:val="24"/>
                <w:shd w:val="clear" w:color="auto" w:fill="FFFFFF"/>
              </w:rPr>
              <w:t>-</w:t>
            </w:r>
            <w:r w:rsidRPr="00B65E6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65E69">
              <w:rPr>
                <w:sz w:val="24"/>
                <w:szCs w:val="24"/>
                <w:shd w:val="clear" w:color="auto" w:fill="FFFFFF"/>
              </w:rPr>
              <w:t>розуміння актуальних проблем та викликів у відповідній сфері державної політики;</w:t>
            </w:r>
          </w:p>
          <w:p w14:paraId="3E48DDC9" w14:textId="77777777" w:rsidR="00A25180" w:rsidRPr="00B65E69" w:rsidRDefault="00A25180" w:rsidP="0008640E">
            <w:pPr>
              <w:pStyle w:val="ab"/>
              <w:tabs>
                <w:tab w:val="left" w:pos="0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65E69">
              <w:rPr>
                <w:sz w:val="24"/>
                <w:szCs w:val="24"/>
                <w:shd w:val="clear" w:color="auto" w:fill="FFFFFF"/>
              </w:rPr>
              <w:t>-</w:t>
            </w:r>
            <w:r w:rsidRPr="00B65E6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65E69">
              <w:rPr>
                <w:sz w:val="24"/>
                <w:szCs w:val="24"/>
                <w:shd w:val="clear" w:color="auto" w:fill="FFFFFF"/>
              </w:rPr>
              <w:t>бачення необхідних змін у формуванні та реалізації державної політики у відповідній сфері;</w:t>
            </w:r>
          </w:p>
          <w:p w14:paraId="0C713D11" w14:textId="77777777" w:rsidR="00A25180" w:rsidRPr="00B65E69" w:rsidRDefault="00A25180" w:rsidP="0008640E">
            <w:pPr>
              <w:pStyle w:val="ab"/>
              <w:tabs>
                <w:tab w:val="left" w:pos="0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65E69">
              <w:rPr>
                <w:sz w:val="24"/>
                <w:szCs w:val="24"/>
                <w:shd w:val="clear" w:color="auto" w:fill="FFFFFF"/>
              </w:rPr>
              <w:t>-</w:t>
            </w:r>
            <w:r w:rsidRPr="00B65E6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65E69">
              <w:rPr>
                <w:sz w:val="24"/>
                <w:szCs w:val="24"/>
                <w:shd w:val="clear" w:color="auto" w:fill="FFFFFF"/>
              </w:rPr>
              <w:t>бачення шляхів розв’язання поточних проблем у відповідній сфері;</w:t>
            </w:r>
          </w:p>
          <w:p w14:paraId="6B653F3D" w14:textId="77777777" w:rsidR="00A25180" w:rsidRDefault="00A25180" w:rsidP="0008640E">
            <w:pPr>
              <w:tabs>
                <w:tab w:val="left" w:pos="0"/>
                <w:tab w:val="left" w:pos="754"/>
                <w:tab w:val="left" w:pos="6200"/>
              </w:tabs>
              <w:jc w:val="both"/>
              <w:rPr>
                <w:shd w:val="clear" w:color="auto" w:fill="FFFFFF"/>
              </w:rPr>
            </w:pPr>
            <w:r w:rsidRPr="00B65E69">
              <w:rPr>
                <w:shd w:val="clear" w:color="auto" w:fill="FFFFFF"/>
              </w:rPr>
              <w:t>-</w:t>
            </w:r>
            <w:r w:rsidRPr="00B65E69">
              <w:rPr>
                <w:shd w:val="clear" w:color="auto" w:fill="FFFFFF"/>
                <w:lang w:val="en-US"/>
              </w:rPr>
              <w:t> </w:t>
            </w:r>
            <w:proofErr w:type="spellStart"/>
            <w:r w:rsidRPr="00B65E69">
              <w:rPr>
                <w:shd w:val="clear" w:color="auto" w:fill="FFFFFF"/>
              </w:rPr>
              <w:t>розуміння</w:t>
            </w:r>
            <w:proofErr w:type="spellEnd"/>
            <w:r w:rsidRPr="00B65E69">
              <w:rPr>
                <w:shd w:val="clear" w:color="auto" w:fill="FFFFFF"/>
              </w:rPr>
              <w:t xml:space="preserve"> кола </w:t>
            </w:r>
            <w:proofErr w:type="spellStart"/>
            <w:r w:rsidRPr="00B65E69">
              <w:rPr>
                <w:shd w:val="clear" w:color="auto" w:fill="FFFFFF"/>
              </w:rPr>
              <w:t>заінтересованих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сторін</w:t>
            </w:r>
            <w:proofErr w:type="spellEnd"/>
            <w:r w:rsidRPr="00B65E69">
              <w:rPr>
                <w:shd w:val="clear" w:color="auto" w:fill="FFFFFF"/>
              </w:rPr>
              <w:t xml:space="preserve"> та </w:t>
            </w:r>
            <w:proofErr w:type="spellStart"/>
            <w:r w:rsidRPr="00B65E69">
              <w:rPr>
                <w:shd w:val="clear" w:color="auto" w:fill="FFFFFF"/>
              </w:rPr>
              <w:t>шляхів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їх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залучення</w:t>
            </w:r>
            <w:proofErr w:type="spellEnd"/>
            <w:r w:rsidRPr="00B65E69">
              <w:rPr>
                <w:shd w:val="clear" w:color="auto" w:fill="FFFFFF"/>
              </w:rPr>
              <w:t xml:space="preserve"> до </w:t>
            </w:r>
            <w:proofErr w:type="spellStart"/>
            <w:r w:rsidRPr="00B65E69">
              <w:rPr>
                <w:shd w:val="clear" w:color="auto" w:fill="FFFFFF"/>
              </w:rPr>
              <w:t>формування</w:t>
            </w:r>
            <w:proofErr w:type="spellEnd"/>
            <w:r w:rsidRPr="00B65E69">
              <w:rPr>
                <w:shd w:val="clear" w:color="auto" w:fill="FFFFFF"/>
              </w:rPr>
              <w:t>/</w:t>
            </w:r>
            <w:proofErr w:type="spellStart"/>
            <w:r w:rsidRPr="00B65E69">
              <w:rPr>
                <w:shd w:val="clear" w:color="auto" w:fill="FFFFFF"/>
              </w:rPr>
              <w:t>реалізації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політики</w:t>
            </w:r>
            <w:proofErr w:type="spellEnd"/>
            <w:r w:rsidRPr="00B65E69">
              <w:rPr>
                <w:shd w:val="clear" w:color="auto" w:fill="FFFFFF"/>
              </w:rPr>
              <w:t xml:space="preserve"> у </w:t>
            </w:r>
            <w:proofErr w:type="spellStart"/>
            <w:r w:rsidRPr="00B65E69">
              <w:rPr>
                <w:shd w:val="clear" w:color="auto" w:fill="FFFFFF"/>
              </w:rPr>
              <w:t>відповідній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сфері</w:t>
            </w:r>
            <w:proofErr w:type="spellEnd"/>
          </w:p>
          <w:p w14:paraId="6BBD7147" w14:textId="4B327FFF" w:rsidR="00021F34" w:rsidRPr="00021F34" w:rsidRDefault="00021F34" w:rsidP="0008640E">
            <w:pPr>
              <w:tabs>
                <w:tab w:val="left" w:pos="0"/>
                <w:tab w:val="left" w:pos="754"/>
                <w:tab w:val="left" w:pos="6200"/>
              </w:tabs>
              <w:jc w:val="both"/>
              <w:rPr>
                <w:sz w:val="10"/>
                <w:szCs w:val="10"/>
                <w:shd w:val="clear" w:color="auto" w:fill="FFFFFF"/>
                <w:lang w:val="uk-UA"/>
              </w:rPr>
            </w:pPr>
          </w:p>
        </w:tc>
      </w:tr>
      <w:tr w:rsidR="00A25180" w:rsidRPr="007801B1" w14:paraId="5BE07E3E" w14:textId="77777777" w:rsidTr="007E0F63">
        <w:trPr>
          <w:trHeight w:val="515"/>
        </w:trPr>
        <w:tc>
          <w:tcPr>
            <w:tcW w:w="571" w:type="dxa"/>
          </w:tcPr>
          <w:p w14:paraId="30AD2CAF" w14:textId="7A4C2567" w:rsidR="00A25180" w:rsidRPr="002366FB" w:rsidRDefault="00A25180" w:rsidP="00A25180">
            <w:pPr>
              <w:ind w:left="113"/>
              <w:rPr>
                <w:lang w:val="uk-UA"/>
              </w:rPr>
            </w:pPr>
            <w:r w:rsidRPr="002366FB">
              <w:rPr>
                <w:lang w:val="uk-UA"/>
              </w:rPr>
              <w:t>4.</w:t>
            </w:r>
          </w:p>
        </w:tc>
        <w:tc>
          <w:tcPr>
            <w:tcW w:w="2401" w:type="dxa"/>
          </w:tcPr>
          <w:p w14:paraId="7E980106" w14:textId="032FDAFB" w:rsidR="00A25180" w:rsidRPr="002366FB" w:rsidRDefault="00A25180" w:rsidP="00A25180">
            <w:pPr>
              <w:rPr>
                <w:lang w:val="uk-UA"/>
              </w:rPr>
            </w:pPr>
            <w:proofErr w:type="spellStart"/>
            <w:r w:rsidRPr="002366FB">
              <w:t>Стратегічне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бачення</w:t>
            </w:r>
            <w:proofErr w:type="spellEnd"/>
          </w:p>
        </w:tc>
        <w:tc>
          <w:tcPr>
            <w:tcW w:w="6503" w:type="dxa"/>
          </w:tcPr>
          <w:p w14:paraId="5807E282" w14:textId="27AF045F" w:rsidR="00A25180" w:rsidRPr="00B65E69" w:rsidRDefault="00A25180" w:rsidP="0008640E">
            <w:pPr>
              <w:pStyle w:val="rvps14"/>
              <w:spacing w:before="0" w:beforeAutospacing="0" w:after="0" w:afterAutospacing="0"/>
              <w:ind w:left="-11" w:right="-28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бачення загальної картини у сфері своєї відповідальності, розуміння середньо- та довгострокових</w:t>
            </w:r>
            <w:r w:rsidR="00F55308">
              <w:t xml:space="preserve"> </w:t>
            </w:r>
            <w:r w:rsidRPr="00B65E69">
              <w:t>цілей;</w:t>
            </w:r>
          </w:p>
          <w:p w14:paraId="41897163" w14:textId="77777777" w:rsidR="00A25180" w:rsidRPr="00B65E69" w:rsidRDefault="00A25180" w:rsidP="0008640E">
            <w:pPr>
              <w:pStyle w:val="rvps14"/>
              <w:spacing w:before="0" w:beforeAutospacing="0" w:after="0" w:afterAutospacing="0"/>
              <w:ind w:left="-11" w:right="-28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здатність визначати напрями розвитку та покращень у сфері своєї відповідальності;</w:t>
            </w:r>
          </w:p>
          <w:p w14:paraId="50CFCCD6" w14:textId="77777777" w:rsidR="00A25180" w:rsidRPr="00B65E69" w:rsidRDefault="00A25180" w:rsidP="0008640E">
            <w:pPr>
              <w:pStyle w:val="rvps14"/>
              <w:spacing w:before="0" w:beforeAutospacing="0" w:after="0" w:afterAutospacing="0"/>
              <w:ind w:left="-11" w:right="-28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уміння перетворювати довгострокові цілі та концептуальне бачення на конкретні задачі та показники їх виконання, чіткі та послідовні плани дій;</w:t>
            </w:r>
          </w:p>
          <w:p w14:paraId="5B44DEC7" w14:textId="77777777" w:rsidR="00A25180" w:rsidRDefault="00A25180" w:rsidP="0008640E">
            <w:pPr>
              <w:tabs>
                <w:tab w:val="left" w:pos="6200"/>
              </w:tabs>
              <w:ind w:left="-11" w:right="-28"/>
              <w:jc w:val="both"/>
              <w:rPr>
                <w:lang w:val="uk-UA"/>
              </w:rPr>
            </w:pPr>
            <w:r w:rsidRPr="00B65E69">
              <w:rPr>
                <w:lang w:val="uk-UA"/>
              </w:rPr>
              <w:t>-</w:t>
            </w:r>
            <w:r w:rsidRPr="00B65E69">
              <w:rPr>
                <w:lang w:val="en-US"/>
              </w:rPr>
              <w:t> </w:t>
            </w:r>
            <w:r w:rsidRPr="00B65E69">
              <w:rPr>
                <w:lang w:val="uk-UA"/>
              </w:rPr>
              <w:t>вміння здійснювати оцінку гендерного впливу під час формування, впровадження та оцінювання державної політики</w:t>
            </w:r>
          </w:p>
          <w:p w14:paraId="286C4003" w14:textId="7CC98D76" w:rsidR="00021F34" w:rsidRPr="00021F34" w:rsidRDefault="00021F34" w:rsidP="0008640E">
            <w:pPr>
              <w:tabs>
                <w:tab w:val="left" w:pos="6200"/>
              </w:tabs>
              <w:ind w:left="-11" w:right="-28"/>
              <w:jc w:val="both"/>
              <w:rPr>
                <w:sz w:val="10"/>
                <w:szCs w:val="10"/>
                <w:shd w:val="clear" w:color="auto" w:fill="FFFFFF"/>
                <w:lang w:val="uk-UA"/>
              </w:rPr>
            </w:pPr>
          </w:p>
        </w:tc>
      </w:tr>
      <w:tr w:rsidR="00A25180" w:rsidRPr="007801B1" w14:paraId="4CF63AAE" w14:textId="77777777" w:rsidTr="007E0F63">
        <w:trPr>
          <w:trHeight w:val="515"/>
        </w:trPr>
        <w:tc>
          <w:tcPr>
            <w:tcW w:w="571" w:type="dxa"/>
          </w:tcPr>
          <w:p w14:paraId="4E57F17B" w14:textId="77777777" w:rsidR="00A25180" w:rsidRPr="002366FB" w:rsidRDefault="00A25180" w:rsidP="00A25180">
            <w:pPr>
              <w:numPr>
                <w:ilvl w:val="0"/>
                <w:numId w:val="1"/>
              </w:numPr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1ED7D72C" w14:textId="2FD88093" w:rsidR="00A25180" w:rsidRPr="002366FB" w:rsidRDefault="00A25180" w:rsidP="00A25180">
            <w:pPr>
              <w:rPr>
                <w:lang w:val="uk-UA"/>
              </w:rPr>
            </w:pPr>
            <w:proofErr w:type="spellStart"/>
            <w:r w:rsidRPr="002366FB">
              <w:t>Управління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змінами</w:t>
            </w:r>
            <w:proofErr w:type="spellEnd"/>
            <w:r w:rsidRPr="002366FB">
              <w:t xml:space="preserve"> та </w:t>
            </w:r>
            <w:proofErr w:type="spellStart"/>
            <w:r w:rsidRPr="002366FB">
              <w:t>інновації</w:t>
            </w:r>
            <w:proofErr w:type="spellEnd"/>
          </w:p>
        </w:tc>
        <w:tc>
          <w:tcPr>
            <w:tcW w:w="6503" w:type="dxa"/>
          </w:tcPr>
          <w:p w14:paraId="1C7CE020" w14:textId="71166817" w:rsidR="00A25180" w:rsidRPr="00B65E69" w:rsidRDefault="00A25180" w:rsidP="0008640E">
            <w:pPr>
              <w:pStyle w:val="ab"/>
              <w:spacing w:before="0"/>
              <w:ind w:left="-11" w:right="-28" w:firstLine="0"/>
              <w:rPr>
                <w:sz w:val="24"/>
                <w:szCs w:val="24"/>
                <w:shd w:val="clear" w:color="auto" w:fill="FFFFFF"/>
              </w:rPr>
            </w:pPr>
            <w:r w:rsidRPr="00B65E69">
              <w:rPr>
                <w:sz w:val="24"/>
                <w:szCs w:val="24"/>
                <w:shd w:val="clear" w:color="auto" w:fill="FFFFFF"/>
              </w:rPr>
              <w:t>-</w:t>
            </w:r>
            <w:r w:rsidRPr="00B65E6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65E69">
              <w:rPr>
                <w:sz w:val="24"/>
                <w:szCs w:val="24"/>
                <w:shd w:val="clear" w:color="auto" w:fill="FFFFFF"/>
              </w:rPr>
              <w:t>рішучість і наполегливість у впровадженні</w:t>
            </w:r>
            <w:r w:rsidR="000579C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65E69">
              <w:rPr>
                <w:sz w:val="24"/>
                <w:szCs w:val="24"/>
                <w:shd w:val="clear" w:color="auto" w:fill="FFFFFF"/>
              </w:rPr>
              <w:t>змін;</w:t>
            </w:r>
          </w:p>
          <w:p w14:paraId="7DAEEB03" w14:textId="77777777" w:rsidR="00A25180" w:rsidRPr="00B65E69" w:rsidRDefault="00A25180" w:rsidP="0008640E">
            <w:pPr>
              <w:pStyle w:val="ab"/>
              <w:spacing w:before="0"/>
              <w:ind w:left="-11" w:right="-28" w:firstLine="0"/>
              <w:rPr>
                <w:sz w:val="24"/>
                <w:szCs w:val="24"/>
                <w:shd w:val="clear" w:color="auto" w:fill="FFFFFF"/>
              </w:rPr>
            </w:pPr>
            <w:r w:rsidRPr="00B65E69">
              <w:rPr>
                <w:sz w:val="24"/>
                <w:szCs w:val="24"/>
                <w:shd w:val="clear" w:color="auto" w:fill="FFFFFF"/>
              </w:rPr>
              <w:lastRenderedPageBreak/>
              <w:t>-</w:t>
            </w:r>
            <w:r w:rsidRPr="00B65E6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65E69">
              <w:rPr>
                <w:sz w:val="24"/>
                <w:szCs w:val="24"/>
                <w:shd w:val="clear" w:color="auto" w:fill="FFFFFF"/>
              </w:rPr>
              <w:t>вміння планувати, оцінювати ефективність і коригувати плани;</w:t>
            </w:r>
          </w:p>
          <w:p w14:paraId="7399A26F" w14:textId="77777777" w:rsidR="00A25180" w:rsidRDefault="00A25180" w:rsidP="0008640E">
            <w:pPr>
              <w:tabs>
                <w:tab w:val="left" w:pos="6200"/>
              </w:tabs>
              <w:ind w:left="-11" w:right="-28"/>
              <w:jc w:val="both"/>
              <w:rPr>
                <w:shd w:val="clear" w:color="auto" w:fill="FFFFFF"/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-</w:t>
            </w:r>
            <w:r w:rsidRPr="00B65E69">
              <w:rPr>
                <w:shd w:val="clear" w:color="auto" w:fill="FFFFFF"/>
                <w:lang w:val="en-US"/>
              </w:rPr>
              <w:t> </w:t>
            </w:r>
            <w:r w:rsidRPr="00B65E69">
              <w:rPr>
                <w:shd w:val="clear" w:color="auto" w:fill="FFFFFF"/>
                <w:lang w:val="uk-UA"/>
              </w:rPr>
              <w:t>здатність формувати концептуальні пропозиції, інноваційні ідеї та підходи</w:t>
            </w:r>
          </w:p>
          <w:p w14:paraId="59668481" w14:textId="7C235C52" w:rsidR="00021F34" w:rsidRPr="00021F34" w:rsidRDefault="00021F34" w:rsidP="0008640E">
            <w:pPr>
              <w:tabs>
                <w:tab w:val="left" w:pos="6200"/>
              </w:tabs>
              <w:ind w:left="-11" w:right="-28"/>
              <w:jc w:val="both"/>
              <w:rPr>
                <w:sz w:val="10"/>
                <w:szCs w:val="10"/>
                <w:shd w:val="clear" w:color="auto" w:fill="FFFFFF"/>
                <w:lang w:val="uk-UA"/>
              </w:rPr>
            </w:pPr>
          </w:p>
        </w:tc>
      </w:tr>
      <w:tr w:rsidR="00A25180" w:rsidRPr="007801B1" w14:paraId="56CA45BA" w14:textId="77777777" w:rsidTr="007E0F63">
        <w:trPr>
          <w:trHeight w:val="515"/>
        </w:trPr>
        <w:tc>
          <w:tcPr>
            <w:tcW w:w="571" w:type="dxa"/>
          </w:tcPr>
          <w:p w14:paraId="1D35FBAE" w14:textId="77777777" w:rsidR="00A25180" w:rsidRPr="002366FB" w:rsidRDefault="00A25180" w:rsidP="00A25180">
            <w:pPr>
              <w:numPr>
                <w:ilvl w:val="0"/>
                <w:numId w:val="1"/>
              </w:numPr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3B050D37" w14:textId="0FBA9739" w:rsidR="00A25180" w:rsidRPr="002366FB" w:rsidRDefault="00A25180" w:rsidP="00A25180">
            <w:pPr>
              <w:rPr>
                <w:lang w:val="uk-UA"/>
              </w:rPr>
            </w:pPr>
            <w:proofErr w:type="spellStart"/>
            <w:r w:rsidRPr="002366FB">
              <w:t>Доброчесність</w:t>
            </w:r>
            <w:proofErr w:type="spellEnd"/>
            <w:r w:rsidRPr="002366FB">
              <w:t xml:space="preserve"> та </w:t>
            </w:r>
            <w:proofErr w:type="spellStart"/>
            <w:r w:rsidRPr="002366FB">
              <w:t>дотримання</w:t>
            </w:r>
            <w:proofErr w:type="spellEnd"/>
            <w:r w:rsidRPr="002366FB">
              <w:t xml:space="preserve"> правил </w:t>
            </w:r>
            <w:proofErr w:type="spellStart"/>
            <w:r w:rsidRPr="002366FB">
              <w:t>етичної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поведінки</w:t>
            </w:r>
            <w:proofErr w:type="spellEnd"/>
          </w:p>
        </w:tc>
        <w:tc>
          <w:tcPr>
            <w:tcW w:w="6503" w:type="dxa"/>
          </w:tcPr>
          <w:p w14:paraId="252A60E3" w14:textId="77777777" w:rsidR="00A25180" w:rsidRPr="00B65E69" w:rsidRDefault="00A25180" w:rsidP="0008640E">
            <w:pPr>
              <w:pStyle w:val="rvps14"/>
              <w:tabs>
                <w:tab w:val="left" w:pos="-11"/>
              </w:tabs>
              <w:spacing w:before="0" w:beforeAutospacing="0" w:after="0" w:afterAutospacing="0"/>
              <w:ind w:left="-11" w:right="-28"/>
              <w:jc w:val="both"/>
              <w:rPr>
                <w:shd w:val="clear" w:color="auto" w:fill="FFFFFF"/>
              </w:rPr>
            </w:pPr>
            <w:r w:rsidRPr="00B65E69">
              <w:rPr>
                <w:shd w:val="clear" w:color="auto" w:fill="FFFFFF"/>
              </w:rPr>
              <w:t>-</w:t>
            </w:r>
            <w:r w:rsidRPr="00B65E69">
              <w:rPr>
                <w:shd w:val="clear" w:color="auto" w:fill="FFFFFF"/>
                <w:lang w:val="en-US"/>
              </w:rPr>
              <w:t> </w:t>
            </w:r>
            <w:r w:rsidRPr="00B65E69">
              <w:rPr>
                <w:shd w:val="clear" w:color="auto" w:fill="FFFFFF"/>
              </w:rPr>
              <w:t>здатність застосовувати принцип доброчесності та правила етичної поведінки державних службовців;</w:t>
            </w:r>
          </w:p>
          <w:p w14:paraId="65D3A846" w14:textId="77777777" w:rsidR="00A25180" w:rsidRPr="00B65E69" w:rsidRDefault="00A25180" w:rsidP="0008640E">
            <w:pPr>
              <w:pStyle w:val="rvps14"/>
              <w:tabs>
                <w:tab w:val="left" w:pos="-11"/>
              </w:tabs>
              <w:spacing w:before="0" w:beforeAutospacing="0" w:after="0" w:afterAutospacing="0"/>
              <w:ind w:left="-11" w:right="-28"/>
              <w:jc w:val="both"/>
              <w:rPr>
                <w:shd w:val="clear" w:color="auto" w:fill="FFFFFF"/>
              </w:rPr>
            </w:pPr>
            <w:r w:rsidRPr="00B65E69">
              <w:rPr>
                <w:shd w:val="clear" w:color="auto" w:fill="FFFFFF"/>
              </w:rPr>
              <w:t>-</w:t>
            </w:r>
            <w:r w:rsidRPr="00B65E69">
              <w:rPr>
                <w:shd w:val="clear" w:color="auto" w:fill="FFFFFF"/>
                <w:lang w:val="en-US"/>
              </w:rPr>
              <w:t> </w:t>
            </w:r>
            <w:r w:rsidRPr="00B65E69">
              <w:rPr>
                <w:shd w:val="clear" w:color="auto" w:fill="FFFFFF"/>
              </w:rPr>
              <w:t>недопущення поведінки, яка свідчить про нечесність та/або небезсторонність кандидата;</w:t>
            </w:r>
          </w:p>
          <w:p w14:paraId="03EB6E09" w14:textId="77777777" w:rsidR="00A25180" w:rsidRPr="00B65E69" w:rsidRDefault="00A25180" w:rsidP="0008640E">
            <w:pPr>
              <w:pStyle w:val="rvps14"/>
              <w:tabs>
                <w:tab w:val="left" w:pos="-11"/>
              </w:tabs>
              <w:spacing w:before="0" w:beforeAutospacing="0" w:after="0" w:afterAutospacing="0"/>
              <w:ind w:left="-11" w:right="-28"/>
              <w:jc w:val="both"/>
              <w:rPr>
                <w:shd w:val="clear" w:color="auto" w:fill="FFFFFF"/>
              </w:rPr>
            </w:pPr>
            <w:r w:rsidRPr="00B65E69">
              <w:rPr>
                <w:shd w:val="clear" w:color="auto" w:fill="FFFFFF"/>
              </w:rPr>
              <w:t>-</w:t>
            </w:r>
            <w:r w:rsidRPr="00B65E69">
              <w:rPr>
                <w:shd w:val="clear" w:color="auto" w:fill="FFFFFF"/>
                <w:lang w:val="en-US"/>
              </w:rPr>
              <w:t> </w:t>
            </w:r>
            <w:r w:rsidRPr="00B65E69">
              <w:rPr>
                <w:shd w:val="clear" w:color="auto" w:fill="FFFFFF"/>
              </w:rPr>
              <w:t>недопущення поведінки, через яку призначення кандидата негативно вплине на суспільну довіру до державної служби;</w:t>
            </w:r>
          </w:p>
          <w:p w14:paraId="659EC1A8" w14:textId="591F7336" w:rsidR="00A25180" w:rsidRDefault="00A25180" w:rsidP="0008640E">
            <w:pPr>
              <w:tabs>
                <w:tab w:val="left" w:pos="-11"/>
                <w:tab w:val="left" w:pos="6200"/>
              </w:tabs>
              <w:ind w:left="-11" w:right="-28"/>
              <w:jc w:val="both"/>
              <w:rPr>
                <w:shd w:val="clear" w:color="auto" w:fill="FFFFFF"/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-</w:t>
            </w:r>
            <w:r w:rsidRPr="00B65E69">
              <w:rPr>
                <w:shd w:val="clear" w:color="auto" w:fill="FFFFFF"/>
                <w:lang w:val="en-US"/>
              </w:rPr>
              <w:t> </w:t>
            </w:r>
            <w:r w:rsidRPr="00B65E69">
              <w:rPr>
                <w:shd w:val="clear" w:color="auto" w:fill="FFFFFF"/>
                <w:lang w:val="uk-UA"/>
              </w:rPr>
              <w:t xml:space="preserve">здатність розуміти вимоги щодо конфлікту інтересів та інші обмеження, встановлені Законом України </w:t>
            </w:r>
            <w:r w:rsidR="00A3504A">
              <w:rPr>
                <w:shd w:val="clear" w:color="auto" w:fill="FFFFFF"/>
                <w:lang w:val="uk-UA"/>
              </w:rPr>
              <w:t>«</w:t>
            </w:r>
            <w:r w:rsidRPr="00B65E69">
              <w:rPr>
                <w:shd w:val="clear" w:color="auto" w:fill="FFFFFF"/>
                <w:lang w:val="uk-UA"/>
              </w:rPr>
              <w:t>Про запобігання корупції</w:t>
            </w:r>
            <w:r w:rsidR="00A3504A">
              <w:rPr>
                <w:shd w:val="clear" w:color="auto" w:fill="FFFFFF"/>
                <w:lang w:val="uk-UA"/>
              </w:rPr>
              <w:t>»</w:t>
            </w:r>
            <w:r w:rsidRPr="00B65E69">
              <w:rPr>
                <w:shd w:val="clear" w:color="auto" w:fill="FFFFFF"/>
                <w:lang w:val="uk-UA"/>
              </w:rPr>
              <w:t>, та утримуватися від їх порушення</w:t>
            </w:r>
          </w:p>
          <w:p w14:paraId="4BD8CA00" w14:textId="67F964D9" w:rsidR="00021F34" w:rsidRPr="00021F34" w:rsidRDefault="00021F34" w:rsidP="0008640E">
            <w:pPr>
              <w:tabs>
                <w:tab w:val="left" w:pos="-11"/>
                <w:tab w:val="left" w:pos="6200"/>
              </w:tabs>
              <w:ind w:left="-11" w:right="-28"/>
              <w:jc w:val="both"/>
              <w:rPr>
                <w:sz w:val="10"/>
                <w:szCs w:val="10"/>
                <w:shd w:val="clear" w:color="auto" w:fill="FFFFFF"/>
                <w:lang w:val="uk-UA"/>
              </w:rPr>
            </w:pPr>
          </w:p>
        </w:tc>
      </w:tr>
      <w:tr w:rsidR="00A25180" w:rsidRPr="002B1947" w14:paraId="6F9398E4" w14:textId="77777777" w:rsidTr="007E0F63">
        <w:trPr>
          <w:trHeight w:val="515"/>
        </w:trPr>
        <w:tc>
          <w:tcPr>
            <w:tcW w:w="571" w:type="dxa"/>
          </w:tcPr>
          <w:p w14:paraId="52D1B6EF" w14:textId="77777777" w:rsidR="00A25180" w:rsidRPr="002366FB" w:rsidRDefault="00A25180" w:rsidP="00A25180">
            <w:pPr>
              <w:numPr>
                <w:ilvl w:val="0"/>
                <w:numId w:val="1"/>
              </w:numPr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5263BEB2" w14:textId="50FDE6D0" w:rsidR="00A25180" w:rsidRPr="002366FB" w:rsidRDefault="00A25180" w:rsidP="00021F34">
            <w:pPr>
              <w:pStyle w:val="ab"/>
              <w:ind w:firstLine="0"/>
            </w:pPr>
            <w:r w:rsidRPr="002366FB">
              <w:rPr>
                <w:sz w:val="24"/>
                <w:szCs w:val="24"/>
              </w:rPr>
              <w:t>Абстрактне мислення</w:t>
            </w:r>
          </w:p>
        </w:tc>
        <w:tc>
          <w:tcPr>
            <w:tcW w:w="6503" w:type="dxa"/>
          </w:tcPr>
          <w:p w14:paraId="4773CB23" w14:textId="77777777" w:rsidR="00A25180" w:rsidRPr="00B65E69" w:rsidRDefault="00A25180" w:rsidP="00B65E69">
            <w:pPr>
              <w:pStyle w:val="rvps14"/>
              <w:spacing w:before="0" w:beforeAutospacing="0" w:after="0" w:afterAutospacing="0"/>
              <w:ind w:left="-11" w:right="-28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здатність до логічного мислення;</w:t>
            </w:r>
          </w:p>
          <w:p w14:paraId="5797A4A1" w14:textId="598AEE6B" w:rsidR="00A25180" w:rsidRPr="00B65E69" w:rsidRDefault="00A25180" w:rsidP="00B65E69">
            <w:pPr>
              <w:pStyle w:val="rvps14"/>
              <w:spacing w:before="0" w:beforeAutospacing="0" w:after="0" w:afterAutospacing="0"/>
              <w:ind w:left="-11" w:right="-28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вміння встановлювати причинно-наслідкові зв’язки</w:t>
            </w:r>
          </w:p>
        </w:tc>
      </w:tr>
      <w:tr w:rsidR="00A25180" w:rsidRPr="002B1947" w14:paraId="7F6C5657" w14:textId="77777777" w:rsidTr="008E7A3B">
        <w:trPr>
          <w:trHeight w:val="373"/>
        </w:trPr>
        <w:tc>
          <w:tcPr>
            <w:tcW w:w="9475" w:type="dxa"/>
            <w:gridSpan w:val="3"/>
          </w:tcPr>
          <w:p w14:paraId="5B87AFB3" w14:textId="1D86A985" w:rsidR="00A25180" w:rsidRPr="00B65E69" w:rsidRDefault="00A25180" w:rsidP="00A25180">
            <w:pPr>
              <w:tabs>
                <w:tab w:val="left" w:pos="6200"/>
              </w:tabs>
              <w:ind w:right="-18"/>
              <w:jc w:val="center"/>
              <w:rPr>
                <w:b/>
                <w:shd w:val="clear" w:color="auto" w:fill="FFFFFF"/>
                <w:lang w:val="uk-UA"/>
              </w:rPr>
            </w:pPr>
            <w:r w:rsidRPr="00B65E69">
              <w:rPr>
                <w:b/>
                <w:shd w:val="clear" w:color="auto" w:fill="FFFFFF"/>
                <w:lang w:val="uk-UA"/>
              </w:rPr>
              <w:t>Професійні знання</w:t>
            </w:r>
          </w:p>
        </w:tc>
      </w:tr>
      <w:tr w:rsidR="00A25180" w:rsidRPr="002B1947" w14:paraId="1132DB4B" w14:textId="77777777" w:rsidTr="008E7A3B">
        <w:trPr>
          <w:trHeight w:val="380"/>
        </w:trPr>
        <w:tc>
          <w:tcPr>
            <w:tcW w:w="2972" w:type="dxa"/>
            <w:gridSpan w:val="2"/>
          </w:tcPr>
          <w:p w14:paraId="041FAF88" w14:textId="15BE8734" w:rsidR="00A25180" w:rsidRPr="002366FB" w:rsidRDefault="00A25180" w:rsidP="00A25180">
            <w:pPr>
              <w:jc w:val="center"/>
              <w:rPr>
                <w:lang w:val="uk-UA"/>
              </w:rPr>
            </w:pPr>
            <w:r w:rsidRPr="002366FB">
              <w:rPr>
                <w:lang w:val="uk-UA"/>
              </w:rPr>
              <w:t>Вимога</w:t>
            </w:r>
          </w:p>
        </w:tc>
        <w:tc>
          <w:tcPr>
            <w:tcW w:w="6503" w:type="dxa"/>
          </w:tcPr>
          <w:p w14:paraId="4E9DA795" w14:textId="6F4689E1" w:rsidR="00A25180" w:rsidRPr="00B65E69" w:rsidRDefault="00A25180" w:rsidP="00A25180">
            <w:pPr>
              <w:tabs>
                <w:tab w:val="left" w:pos="6200"/>
              </w:tabs>
              <w:ind w:right="-18"/>
              <w:jc w:val="center"/>
              <w:rPr>
                <w:shd w:val="clear" w:color="auto" w:fill="FFFFFF"/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A25180" w:rsidRPr="002B1947" w14:paraId="4242C292" w14:textId="77777777" w:rsidTr="00893B1F">
        <w:trPr>
          <w:trHeight w:val="1625"/>
        </w:trPr>
        <w:tc>
          <w:tcPr>
            <w:tcW w:w="2972" w:type="dxa"/>
            <w:gridSpan w:val="2"/>
          </w:tcPr>
          <w:p w14:paraId="55B9EC91" w14:textId="1E087329" w:rsidR="00A25180" w:rsidRPr="002366FB" w:rsidRDefault="00A25180" w:rsidP="00A25180">
            <w:pPr>
              <w:rPr>
                <w:lang w:val="uk-UA"/>
              </w:rPr>
            </w:pPr>
            <w:r w:rsidRPr="002366FB">
              <w:rPr>
                <w:lang w:val="uk-UA"/>
              </w:rPr>
              <w:t>Знання законодавства</w:t>
            </w:r>
          </w:p>
        </w:tc>
        <w:tc>
          <w:tcPr>
            <w:tcW w:w="6503" w:type="dxa"/>
          </w:tcPr>
          <w:p w14:paraId="01BDC72A" w14:textId="77777777" w:rsidR="00A25180" w:rsidRPr="00B65E69" w:rsidRDefault="00A25180" w:rsidP="00A25180">
            <w:pPr>
              <w:tabs>
                <w:tab w:val="left" w:pos="6200"/>
              </w:tabs>
              <w:ind w:right="-18"/>
              <w:jc w:val="both"/>
              <w:rPr>
                <w:shd w:val="clear" w:color="auto" w:fill="FFFFFF"/>
              </w:rPr>
            </w:pPr>
            <w:r w:rsidRPr="00B65E69">
              <w:rPr>
                <w:shd w:val="clear" w:color="auto" w:fill="FFFFFF"/>
                <w:lang w:val="uk-UA"/>
              </w:rPr>
              <w:t>Знання:</w:t>
            </w:r>
          </w:p>
          <w:p w14:paraId="10CF7E77" w14:textId="77777777" w:rsidR="00A25180" w:rsidRPr="00B65E69" w:rsidRDefault="00A25180" w:rsidP="00A25180">
            <w:pPr>
              <w:pStyle w:val="a8"/>
              <w:numPr>
                <w:ilvl w:val="0"/>
                <w:numId w:val="4"/>
              </w:numPr>
              <w:tabs>
                <w:tab w:val="left" w:pos="6200"/>
              </w:tabs>
              <w:ind w:right="-18"/>
              <w:jc w:val="both"/>
              <w:rPr>
                <w:shd w:val="clear" w:color="auto" w:fill="FFFFFF"/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Конституції України;</w:t>
            </w:r>
          </w:p>
          <w:p w14:paraId="17AA5431" w14:textId="2936996F" w:rsidR="00A25180" w:rsidRPr="00B65E69" w:rsidRDefault="00A25180" w:rsidP="00A25180">
            <w:pPr>
              <w:pStyle w:val="a8"/>
              <w:numPr>
                <w:ilvl w:val="0"/>
                <w:numId w:val="4"/>
              </w:numPr>
              <w:tabs>
                <w:tab w:val="left" w:pos="6200"/>
              </w:tabs>
              <w:ind w:right="-18"/>
              <w:jc w:val="both"/>
              <w:rPr>
                <w:shd w:val="clear" w:color="auto" w:fill="FFFFFF"/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Закону України «Про державну службу»</w:t>
            </w:r>
            <w:r w:rsidR="000D520B" w:rsidRPr="00B65E69">
              <w:rPr>
                <w:shd w:val="clear" w:color="auto" w:fill="FFFFFF"/>
                <w:lang w:val="uk-UA"/>
              </w:rPr>
              <w:t>;</w:t>
            </w:r>
          </w:p>
          <w:p w14:paraId="64C13F8D" w14:textId="77777777" w:rsidR="00A25180" w:rsidRPr="00B65E69" w:rsidRDefault="000D520B" w:rsidP="00A25180">
            <w:pPr>
              <w:pStyle w:val="a8"/>
              <w:numPr>
                <w:ilvl w:val="0"/>
                <w:numId w:val="4"/>
              </w:numPr>
              <w:tabs>
                <w:tab w:val="left" w:pos="6200"/>
              </w:tabs>
              <w:ind w:right="-18"/>
              <w:jc w:val="both"/>
              <w:rPr>
                <w:shd w:val="clear" w:color="auto" w:fill="FFFFFF"/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Закону України «Про запобігання корупції»;</w:t>
            </w:r>
          </w:p>
          <w:p w14:paraId="58B56724" w14:textId="74E37C48" w:rsidR="000D520B" w:rsidRPr="00B65E69" w:rsidRDefault="002366FB" w:rsidP="00A25180">
            <w:pPr>
              <w:pStyle w:val="a8"/>
              <w:numPr>
                <w:ilvl w:val="0"/>
                <w:numId w:val="4"/>
              </w:numPr>
              <w:tabs>
                <w:tab w:val="left" w:pos="6200"/>
              </w:tabs>
              <w:ind w:right="-18"/>
              <w:jc w:val="both"/>
              <w:rPr>
                <w:shd w:val="clear" w:color="auto" w:fill="FFFFFF"/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і</w:t>
            </w:r>
            <w:r w:rsidR="000D520B" w:rsidRPr="00B65E69">
              <w:rPr>
                <w:shd w:val="clear" w:color="auto" w:fill="FFFFFF"/>
                <w:lang w:val="uk-UA"/>
              </w:rPr>
              <w:t>ншого законодавства</w:t>
            </w:r>
          </w:p>
        </w:tc>
      </w:tr>
    </w:tbl>
    <w:p w14:paraId="4F51814C" w14:textId="77777777" w:rsidR="00426578" w:rsidRPr="00DA37C9" w:rsidRDefault="00426578">
      <w:pPr>
        <w:rPr>
          <w:lang w:val="uk-UA"/>
        </w:rPr>
      </w:pPr>
    </w:p>
    <w:sectPr w:rsidR="00426578" w:rsidRPr="00DA37C9" w:rsidSect="00021F34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905C7DA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sz w:val="24"/>
        <w:szCs w:val="26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11A664E"/>
    <w:multiLevelType w:val="hybridMultilevel"/>
    <w:tmpl w:val="7BA847E4"/>
    <w:lvl w:ilvl="0" w:tplc="CFDE1F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16BCE"/>
    <w:multiLevelType w:val="hybridMultilevel"/>
    <w:tmpl w:val="287455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24194"/>
    <w:multiLevelType w:val="multilevel"/>
    <w:tmpl w:val="0E6238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93"/>
    <w:rsid w:val="00021F34"/>
    <w:rsid w:val="000301AE"/>
    <w:rsid w:val="00056890"/>
    <w:rsid w:val="000569D5"/>
    <w:rsid w:val="000579C7"/>
    <w:rsid w:val="0006213E"/>
    <w:rsid w:val="0008640E"/>
    <w:rsid w:val="000B74C9"/>
    <w:rsid w:val="000D520B"/>
    <w:rsid w:val="000E4686"/>
    <w:rsid w:val="00104D3B"/>
    <w:rsid w:val="001151F4"/>
    <w:rsid w:val="00125DBE"/>
    <w:rsid w:val="00192AC4"/>
    <w:rsid w:val="00217088"/>
    <w:rsid w:val="00223E0A"/>
    <w:rsid w:val="002366FB"/>
    <w:rsid w:val="0027340C"/>
    <w:rsid w:val="00297AF6"/>
    <w:rsid w:val="002B1947"/>
    <w:rsid w:val="002C6276"/>
    <w:rsid w:val="00371EDD"/>
    <w:rsid w:val="0037235F"/>
    <w:rsid w:val="00380F30"/>
    <w:rsid w:val="003A2936"/>
    <w:rsid w:val="003B29CE"/>
    <w:rsid w:val="003B75F0"/>
    <w:rsid w:val="003D1458"/>
    <w:rsid w:val="003D613D"/>
    <w:rsid w:val="00413BC2"/>
    <w:rsid w:val="004218DC"/>
    <w:rsid w:val="00426578"/>
    <w:rsid w:val="00426F37"/>
    <w:rsid w:val="00461B26"/>
    <w:rsid w:val="004751BB"/>
    <w:rsid w:val="00481EB0"/>
    <w:rsid w:val="004A6A92"/>
    <w:rsid w:val="00505E73"/>
    <w:rsid w:val="00560639"/>
    <w:rsid w:val="00563E90"/>
    <w:rsid w:val="00572A95"/>
    <w:rsid w:val="005A3EFB"/>
    <w:rsid w:val="005B2390"/>
    <w:rsid w:val="005C5BAE"/>
    <w:rsid w:val="006208E6"/>
    <w:rsid w:val="006A3ED2"/>
    <w:rsid w:val="006C0F29"/>
    <w:rsid w:val="006F0C32"/>
    <w:rsid w:val="006F5E7E"/>
    <w:rsid w:val="00700389"/>
    <w:rsid w:val="00703BC8"/>
    <w:rsid w:val="00706FFB"/>
    <w:rsid w:val="00733819"/>
    <w:rsid w:val="007801B1"/>
    <w:rsid w:val="007827C9"/>
    <w:rsid w:val="00783947"/>
    <w:rsid w:val="007958FF"/>
    <w:rsid w:val="007A64FF"/>
    <w:rsid w:val="007D49C2"/>
    <w:rsid w:val="007D76BB"/>
    <w:rsid w:val="007E0F63"/>
    <w:rsid w:val="007E2A69"/>
    <w:rsid w:val="007E61E6"/>
    <w:rsid w:val="007E79E0"/>
    <w:rsid w:val="00831D7C"/>
    <w:rsid w:val="00841569"/>
    <w:rsid w:val="00846256"/>
    <w:rsid w:val="008B280D"/>
    <w:rsid w:val="008E7A3B"/>
    <w:rsid w:val="00923B5F"/>
    <w:rsid w:val="00924278"/>
    <w:rsid w:val="00991EB5"/>
    <w:rsid w:val="009E4D1D"/>
    <w:rsid w:val="009E7447"/>
    <w:rsid w:val="00A25180"/>
    <w:rsid w:val="00A3504A"/>
    <w:rsid w:val="00A917D6"/>
    <w:rsid w:val="00AB383D"/>
    <w:rsid w:val="00AB6FAB"/>
    <w:rsid w:val="00AC1504"/>
    <w:rsid w:val="00AC4247"/>
    <w:rsid w:val="00AC713A"/>
    <w:rsid w:val="00AC75A1"/>
    <w:rsid w:val="00AE20B4"/>
    <w:rsid w:val="00B32F35"/>
    <w:rsid w:val="00B65E69"/>
    <w:rsid w:val="00BB2994"/>
    <w:rsid w:val="00BC0849"/>
    <w:rsid w:val="00BD3375"/>
    <w:rsid w:val="00BD47FC"/>
    <w:rsid w:val="00BD62E9"/>
    <w:rsid w:val="00BE56A9"/>
    <w:rsid w:val="00BF0079"/>
    <w:rsid w:val="00C4540D"/>
    <w:rsid w:val="00C6207B"/>
    <w:rsid w:val="00C63BE5"/>
    <w:rsid w:val="00C9528A"/>
    <w:rsid w:val="00CE09B7"/>
    <w:rsid w:val="00CF0C72"/>
    <w:rsid w:val="00D03150"/>
    <w:rsid w:val="00D06BD2"/>
    <w:rsid w:val="00D2446E"/>
    <w:rsid w:val="00D37F94"/>
    <w:rsid w:val="00D72D6F"/>
    <w:rsid w:val="00DA37C9"/>
    <w:rsid w:val="00DA4093"/>
    <w:rsid w:val="00DB0610"/>
    <w:rsid w:val="00DB456F"/>
    <w:rsid w:val="00DB4AFC"/>
    <w:rsid w:val="00DD06ED"/>
    <w:rsid w:val="00DE6A7C"/>
    <w:rsid w:val="00E0052C"/>
    <w:rsid w:val="00E36CB5"/>
    <w:rsid w:val="00EA785D"/>
    <w:rsid w:val="00EB56AC"/>
    <w:rsid w:val="00EE25D7"/>
    <w:rsid w:val="00EF3445"/>
    <w:rsid w:val="00EF358C"/>
    <w:rsid w:val="00F47639"/>
    <w:rsid w:val="00F55308"/>
    <w:rsid w:val="00F764CF"/>
    <w:rsid w:val="00F8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EF60"/>
  <w15:docId w15:val="{03520924-E05B-4FE2-9584-D7C13CA3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03BC8"/>
    <w:pPr>
      <w:spacing w:before="100" w:beforeAutospacing="1" w:after="100" w:afterAutospacing="1"/>
    </w:pPr>
  </w:style>
  <w:style w:type="character" w:styleId="a3">
    <w:name w:val="Hyperlink"/>
    <w:unhideWhenUsed/>
    <w:rsid w:val="00703BC8"/>
    <w:rPr>
      <w:color w:val="0000FF"/>
      <w:u w:val="single"/>
    </w:rPr>
  </w:style>
  <w:style w:type="character" w:styleId="a4">
    <w:name w:val="Emphasis"/>
    <w:uiPriority w:val="20"/>
    <w:qFormat/>
    <w:rsid w:val="00703BC8"/>
    <w:rPr>
      <w:i/>
      <w:iCs/>
    </w:rPr>
  </w:style>
  <w:style w:type="character" w:customStyle="1" w:styleId="a5">
    <w:name w:val="Основной текст_"/>
    <w:basedOn w:val="a0"/>
    <w:link w:val="1"/>
    <w:rsid w:val="00703B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03BC8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val="uk-UA" w:eastAsia="en-US"/>
    </w:rPr>
  </w:style>
  <w:style w:type="paragraph" w:styleId="a6">
    <w:name w:val="Body Text Indent"/>
    <w:basedOn w:val="a"/>
    <w:link w:val="a7"/>
    <w:rsid w:val="00104D3B"/>
    <w:pPr>
      <w:ind w:firstLine="284"/>
    </w:pPr>
    <w:rPr>
      <w:szCs w:val="20"/>
      <w:lang w:val="uk-UA"/>
    </w:rPr>
  </w:style>
  <w:style w:type="character" w:customStyle="1" w:styleId="a7">
    <w:name w:val="Основний текст з відступом Знак"/>
    <w:basedOn w:val="a0"/>
    <w:link w:val="a6"/>
    <w:rsid w:val="00104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7447"/>
    <w:pPr>
      <w:ind w:left="720"/>
      <w:contextualSpacing/>
    </w:pPr>
  </w:style>
  <w:style w:type="paragraph" w:styleId="a9">
    <w:name w:val="No Spacing"/>
    <w:uiPriority w:val="1"/>
    <w:qFormat/>
    <w:rsid w:val="00DB4AF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Назва документа"/>
    <w:basedOn w:val="a"/>
    <w:next w:val="a"/>
    <w:rsid w:val="00AB6FA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b">
    <w:name w:val="Нормальний текст"/>
    <w:basedOn w:val="a"/>
    <w:rsid w:val="00DA37C9"/>
    <w:pPr>
      <w:spacing w:before="120" w:line="276" w:lineRule="auto"/>
      <w:ind w:firstLine="567"/>
      <w:jc w:val="both"/>
    </w:pPr>
    <w:rPr>
      <w:sz w:val="28"/>
      <w:szCs w:val="20"/>
      <w:lang w:val="uk-UA"/>
    </w:rPr>
  </w:style>
  <w:style w:type="character" w:customStyle="1" w:styleId="10">
    <w:name w:val="Незакрита згадка1"/>
    <w:basedOn w:val="a0"/>
    <w:uiPriority w:val="99"/>
    <w:semiHidden/>
    <w:unhideWhenUsed/>
    <w:rsid w:val="004218DC"/>
    <w:rPr>
      <w:color w:val="605E5C"/>
      <w:shd w:val="clear" w:color="auto" w:fill="E1DFDD"/>
    </w:rPr>
  </w:style>
  <w:style w:type="paragraph" w:customStyle="1" w:styleId="rvps14">
    <w:name w:val="rvps14"/>
    <w:basedOn w:val="a"/>
    <w:rsid w:val="00924278"/>
    <w:pPr>
      <w:spacing w:before="100" w:beforeAutospacing="1" w:after="100" w:afterAutospacing="1"/>
    </w:pPr>
    <w:rPr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9E4D1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E4D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zhyn@nads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?find=1&amp;text=%D1%81%D0%BE%D1%86%D1%96%D0%B0%D0%BB%D1%8C%D0%BD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6848</Words>
  <Characters>3904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Анна Валеріївна</dc:creator>
  <cp:lastModifiedBy>Станкевич Світлана Миколаївна</cp:lastModifiedBy>
  <cp:revision>8</cp:revision>
  <cp:lastPrinted>2021-06-25T08:06:00Z</cp:lastPrinted>
  <dcterms:created xsi:type="dcterms:W3CDTF">2021-06-24T18:12:00Z</dcterms:created>
  <dcterms:modified xsi:type="dcterms:W3CDTF">2021-06-29T05:35:00Z</dcterms:modified>
</cp:coreProperties>
</file>